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4D" w:rsidRPr="00586C4D" w:rsidRDefault="00586C4D" w:rsidP="00586C4D">
      <w:pPr>
        <w:shd w:val="clear" w:color="auto" w:fill="FFFFFF"/>
        <w:spacing w:after="255" w:line="300" w:lineRule="atLeast"/>
        <w:outlineLvl w:val="1"/>
        <w:rPr>
          <w:rFonts w:ascii="Arial" w:eastAsia="Times New Roman" w:hAnsi="Arial" w:cs="Arial"/>
          <w:b/>
          <w:bCs/>
          <w:color w:val="4D4D4D"/>
          <w:sz w:val="27"/>
          <w:szCs w:val="27"/>
          <w:lang w:eastAsia="ru-RU"/>
        </w:rPr>
      </w:pPr>
      <w:r w:rsidRPr="00586C4D">
        <w:rPr>
          <w:rFonts w:ascii="Arial" w:eastAsia="Times New Roman" w:hAnsi="Arial" w:cs="Arial"/>
          <w:b/>
          <w:bCs/>
          <w:color w:val="4D4D4D"/>
          <w:sz w:val="27"/>
          <w:szCs w:val="27"/>
          <w:lang w:eastAsia="ru-RU"/>
        </w:rPr>
        <w:t>Приказ Министерства образования и науки РФ от 5 февраля 2018 г. № 67 “Об утверждении федерального государственного образовательного стандарта среднего профессионального образования по специальности 38.02.07 Банковское дело”</w:t>
      </w:r>
    </w:p>
    <w:p w:rsidR="00586C4D" w:rsidRPr="00586C4D" w:rsidRDefault="00586C4D" w:rsidP="00586C4D">
      <w:pPr>
        <w:shd w:val="clear" w:color="auto" w:fill="FFFFFF"/>
        <w:spacing w:after="180" w:line="240" w:lineRule="auto"/>
        <w:rPr>
          <w:rFonts w:ascii="Arial" w:eastAsia="Times New Roman" w:hAnsi="Arial" w:cs="Arial"/>
          <w:color w:val="333333"/>
          <w:sz w:val="21"/>
          <w:szCs w:val="21"/>
          <w:lang w:eastAsia="ru-RU"/>
        </w:rPr>
      </w:pPr>
      <w:r w:rsidRPr="00586C4D">
        <w:rPr>
          <w:rFonts w:ascii="Arial" w:eastAsia="Times New Roman" w:hAnsi="Arial" w:cs="Arial"/>
          <w:color w:val="333333"/>
          <w:sz w:val="21"/>
          <w:szCs w:val="21"/>
          <w:lang w:eastAsia="ru-RU"/>
        </w:rPr>
        <w:t>7 марта 2018</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586C4D">
        <w:rPr>
          <w:rFonts w:ascii="Arial" w:eastAsia="Times New Roman" w:hAnsi="Arial" w:cs="Arial"/>
          <w:color w:val="333333"/>
          <w:sz w:val="23"/>
          <w:szCs w:val="23"/>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 2018, № 3, ст. 562), приказываю:</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 Утвердить прилагаемый </w:t>
      </w:r>
      <w:hyperlink r:id="rId5" w:anchor="1000" w:history="1">
        <w:r w:rsidRPr="00586C4D">
          <w:rPr>
            <w:rFonts w:ascii="Arial" w:eastAsia="Times New Roman" w:hAnsi="Arial" w:cs="Arial"/>
            <w:color w:val="2060A4"/>
            <w:sz w:val="23"/>
            <w:szCs w:val="23"/>
            <w:u w:val="single"/>
            <w:bdr w:val="none" w:sz="0" w:space="0" w:color="auto" w:frame="1"/>
            <w:lang w:eastAsia="ru-RU"/>
          </w:rPr>
          <w:t>федеральный государственный образовательный стандарт</w:t>
        </w:r>
      </w:hyperlink>
      <w:r w:rsidRPr="00586C4D">
        <w:rPr>
          <w:rFonts w:ascii="Arial" w:eastAsia="Times New Roman" w:hAnsi="Arial" w:cs="Arial"/>
          <w:color w:val="333333"/>
          <w:sz w:val="23"/>
          <w:szCs w:val="23"/>
          <w:lang w:eastAsia="ru-RU"/>
        </w:rPr>
        <w:t> среднего профессионального образования по специальности 38.02.07 Банковское дело (далее - стандарт).</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 Установить, что: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прием на обучение в соответствии с федеральным государственным образовательным стандартом среднего профессионального образования по специальности 38.02.07 Банковское дело, утвержденным приказом Министерства образования и науки Российской Федерации от 28 июля 2014 г. № 837 (зарегистрирован Министерством юстиции Российской Федерации 18 августа 2014 г., регистрационный № 33622), прекращается 1 сентября 2018 года.</w:t>
      </w:r>
    </w:p>
    <w:tbl>
      <w:tblPr>
        <w:tblW w:w="0" w:type="auto"/>
        <w:tblCellMar>
          <w:top w:w="15" w:type="dxa"/>
          <w:left w:w="15" w:type="dxa"/>
          <w:bottom w:w="15" w:type="dxa"/>
          <w:right w:w="15" w:type="dxa"/>
        </w:tblCellMar>
        <w:tblLook w:val="04A0" w:firstRow="1" w:lastRow="0" w:firstColumn="1" w:lastColumn="0" w:noHBand="0" w:noVBand="1"/>
      </w:tblPr>
      <w:tblGrid>
        <w:gridCol w:w="1688"/>
        <w:gridCol w:w="1688"/>
      </w:tblGrid>
      <w:tr w:rsidR="00586C4D" w:rsidRPr="00586C4D" w:rsidTr="00586C4D">
        <w:tc>
          <w:tcPr>
            <w:tcW w:w="2500" w:type="pct"/>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Министр</w:t>
            </w:r>
          </w:p>
        </w:tc>
        <w:tc>
          <w:tcPr>
            <w:tcW w:w="2500" w:type="pct"/>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О.Ю. Васильева</w:t>
            </w:r>
          </w:p>
        </w:tc>
      </w:tr>
    </w:tbl>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Зарегистрировано в Минюсте РФ 26 февраля 2018 г.</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Регистрационный № 50135</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Приложение</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УТВЕРЖДЕН</w:t>
      </w:r>
      <w:r w:rsidRPr="00586C4D">
        <w:rPr>
          <w:rFonts w:ascii="Arial" w:eastAsia="Times New Roman" w:hAnsi="Arial" w:cs="Arial"/>
          <w:color w:val="333333"/>
          <w:sz w:val="23"/>
          <w:szCs w:val="23"/>
          <w:lang w:eastAsia="ru-RU"/>
        </w:rPr>
        <w:br/>
      </w:r>
      <w:hyperlink r:id="rId6" w:anchor="0" w:history="1">
        <w:r w:rsidRPr="00586C4D">
          <w:rPr>
            <w:rFonts w:ascii="Arial" w:eastAsia="Times New Roman" w:hAnsi="Arial" w:cs="Arial"/>
            <w:color w:val="2060A4"/>
            <w:sz w:val="23"/>
            <w:szCs w:val="23"/>
            <w:u w:val="single"/>
            <w:bdr w:val="none" w:sz="0" w:space="0" w:color="auto" w:frame="1"/>
            <w:lang w:eastAsia="ru-RU"/>
          </w:rPr>
          <w:t>приказом</w:t>
        </w:r>
      </w:hyperlink>
      <w:r w:rsidRPr="00586C4D">
        <w:rPr>
          <w:rFonts w:ascii="Arial" w:eastAsia="Times New Roman" w:hAnsi="Arial" w:cs="Arial"/>
          <w:color w:val="333333"/>
          <w:sz w:val="23"/>
          <w:szCs w:val="23"/>
          <w:lang w:eastAsia="ru-RU"/>
        </w:rPr>
        <w:t> Министерства образования</w:t>
      </w:r>
      <w:r w:rsidRPr="00586C4D">
        <w:rPr>
          <w:rFonts w:ascii="Arial" w:eastAsia="Times New Roman" w:hAnsi="Arial" w:cs="Arial"/>
          <w:color w:val="333333"/>
          <w:sz w:val="23"/>
          <w:szCs w:val="23"/>
          <w:lang w:eastAsia="ru-RU"/>
        </w:rPr>
        <w:br/>
        <w:t>и науки Российской Федерации</w:t>
      </w:r>
      <w:r w:rsidRPr="00586C4D">
        <w:rPr>
          <w:rFonts w:ascii="Arial" w:eastAsia="Times New Roman" w:hAnsi="Arial" w:cs="Arial"/>
          <w:color w:val="333333"/>
          <w:sz w:val="23"/>
          <w:szCs w:val="23"/>
          <w:lang w:eastAsia="ru-RU"/>
        </w:rPr>
        <w:br/>
        <w:t>от 5 февраля 2018 г. № 67</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Федеральный государственный образовательный стандарт среднего профессионального образования по специальности</w:t>
      </w:r>
      <w:r w:rsidRPr="00586C4D">
        <w:rPr>
          <w:rFonts w:ascii="Arial" w:eastAsia="Times New Roman" w:hAnsi="Arial" w:cs="Arial"/>
          <w:b/>
          <w:bCs/>
          <w:color w:val="333333"/>
          <w:sz w:val="26"/>
          <w:szCs w:val="26"/>
          <w:lang w:eastAsia="ru-RU"/>
        </w:rPr>
        <w:br/>
        <w:t>38.02.07 Банковское дело</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I. Общие положения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lastRenderedPageBreak/>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38.02.07 Банковское дело (далее - специальность).</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r:id="rId7" w:anchor="1100" w:history="1">
        <w:r w:rsidRPr="00586C4D">
          <w:rPr>
            <w:rFonts w:ascii="Arial" w:eastAsia="Times New Roman" w:hAnsi="Arial" w:cs="Arial"/>
            <w:color w:val="2060A4"/>
            <w:sz w:val="23"/>
            <w:szCs w:val="23"/>
            <w:u w:val="single"/>
            <w:bdr w:val="none" w:sz="0" w:space="0" w:color="auto" w:frame="1"/>
            <w:lang w:eastAsia="ru-RU"/>
          </w:rPr>
          <w:t>приложение № 1</w:t>
        </w:r>
      </w:hyperlink>
      <w:r w:rsidRPr="00586C4D">
        <w:rPr>
          <w:rFonts w:ascii="Arial" w:eastAsia="Times New Roman" w:hAnsi="Arial" w:cs="Arial"/>
          <w:color w:val="333333"/>
          <w:sz w:val="23"/>
          <w:szCs w:val="23"/>
          <w:lang w:eastAsia="ru-RU"/>
        </w:rPr>
        <w:t> к настоящему ФГОС СПО).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08 Финансы и экономика</w:t>
      </w:r>
      <w:hyperlink r:id="rId8" w:anchor="111" w:history="1">
        <w:r w:rsidRPr="00586C4D">
          <w:rPr>
            <w:rFonts w:ascii="Arial" w:eastAsia="Times New Roman" w:hAnsi="Arial" w:cs="Arial"/>
            <w:color w:val="2060A4"/>
            <w:sz w:val="20"/>
            <w:szCs w:val="20"/>
            <w:u w:val="single"/>
            <w:bdr w:val="none" w:sz="0" w:space="0" w:color="auto" w:frame="1"/>
            <w:vertAlign w:val="superscript"/>
            <w:lang w:eastAsia="ru-RU"/>
          </w:rPr>
          <w:t>1</w:t>
        </w:r>
      </w:hyperlink>
      <w:r w:rsidRPr="00586C4D">
        <w:rPr>
          <w:rFonts w:ascii="Arial" w:eastAsia="Times New Roman" w:hAnsi="Arial" w:cs="Arial"/>
          <w:color w:val="333333"/>
          <w:sz w:val="23"/>
          <w:szCs w:val="23"/>
          <w:lang w:eastAsia="ru-RU"/>
        </w:rPr>
        <w:t>.</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hyperlink r:id="rId9" w:anchor="222" w:history="1">
        <w:r w:rsidRPr="00586C4D">
          <w:rPr>
            <w:rFonts w:ascii="Arial" w:eastAsia="Times New Roman" w:hAnsi="Arial" w:cs="Arial"/>
            <w:color w:val="2060A4"/>
            <w:sz w:val="20"/>
            <w:szCs w:val="20"/>
            <w:u w:val="single"/>
            <w:bdr w:val="none" w:sz="0" w:space="0" w:color="auto" w:frame="1"/>
            <w:vertAlign w:val="superscript"/>
            <w:lang w:eastAsia="ru-RU"/>
          </w:rPr>
          <w:t>2</w:t>
        </w:r>
      </w:hyperlink>
      <w:r w:rsidRPr="00586C4D">
        <w:rPr>
          <w:rFonts w:ascii="Arial" w:eastAsia="Times New Roman" w:hAnsi="Arial" w:cs="Arial"/>
          <w:color w:val="333333"/>
          <w:sz w:val="23"/>
          <w:szCs w:val="23"/>
          <w:lang w:eastAsia="ru-RU"/>
        </w:rPr>
        <w:t>.</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на базе основного общего образования - 2 года 10 месяцев;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на базе среднего общего образования - 1 год 10 месяцев.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w:t>
      </w:r>
      <w:r w:rsidRPr="00586C4D">
        <w:rPr>
          <w:rFonts w:ascii="Arial" w:eastAsia="Times New Roman" w:hAnsi="Arial" w:cs="Arial"/>
          <w:color w:val="333333"/>
          <w:sz w:val="23"/>
          <w:szCs w:val="23"/>
          <w:lang w:eastAsia="ru-RU"/>
        </w:rPr>
        <w:lastRenderedPageBreak/>
        <w:t>технологий, увеличивается по сравнению со сроком получения образования в очной форме обучения: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не более чем на 1,5 года при получении образования на базе основного общего образования;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не более чем на 1 год при получении образования на базе среднего общего образования.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1.12. Образовательная организация разрабатывает образовательную программу в соответствии с квалификацией специалиста среднего звена «специалист банковского дела»,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 1199 (зарегистрирован Министерством юстиции Российской Федерации 26 декабря 2013 г., регистрационный № 30861) и с изменениями, внесенными приказами Министерства образования и науки Российской Федерации от 14 мая 2014 г. № 518 (зарегистрирован Министерством юстиции Российской Федерации 28 мая 2014 г., регистрационный № 32461), от 18 ноября 2015 г. № 1350 (зарегистрирован Министерством юстиции Российской Федерации 3 декабря 2015 г., регистрационный № 39955) и от 25 ноября 2016 г. № 1477 (зарегистрирован Министерством юстиции Российской Федерации 12 декабря 2016 г., регистрационный № 44662).</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II. Требования к структуре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Обязательная часть образовательной программы направлена на формирование общих и профессиональных компетенций, предусмотренных </w:t>
      </w:r>
      <w:hyperlink r:id="rId10" w:anchor="1301" w:history="1">
        <w:r w:rsidRPr="00586C4D">
          <w:rPr>
            <w:rFonts w:ascii="Arial" w:eastAsia="Times New Roman" w:hAnsi="Arial" w:cs="Arial"/>
            <w:color w:val="2060A4"/>
            <w:sz w:val="23"/>
            <w:szCs w:val="23"/>
            <w:u w:val="single"/>
            <w:bdr w:val="none" w:sz="0" w:space="0" w:color="auto" w:frame="1"/>
            <w:lang w:eastAsia="ru-RU"/>
          </w:rPr>
          <w:t>главой III</w:t>
        </w:r>
      </w:hyperlink>
      <w:r w:rsidRPr="00586C4D">
        <w:rPr>
          <w:rFonts w:ascii="Arial" w:eastAsia="Times New Roman" w:hAnsi="Arial" w:cs="Arial"/>
          <w:color w:val="333333"/>
          <w:sz w:val="23"/>
          <w:szCs w:val="23"/>
          <w:lang w:eastAsia="ru-RU"/>
        </w:rPr>
        <w:t> настоящего ФГОС СПО, и должна составлять не более 70 процентов от общего объема времени, отведенного на ее освоение.</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w:t>
      </w:r>
      <w:r w:rsidRPr="00586C4D">
        <w:rPr>
          <w:rFonts w:ascii="Arial" w:eastAsia="Times New Roman" w:hAnsi="Arial" w:cs="Arial"/>
          <w:color w:val="333333"/>
          <w:sz w:val="23"/>
          <w:szCs w:val="23"/>
          <w:lang w:eastAsia="ru-RU"/>
        </w:rPr>
        <w:lastRenderedPageBreak/>
        <w:t>быть готов выпускник, освоивший образовательную программу, согласно квалификации, указанной в </w:t>
      </w:r>
      <w:hyperlink r:id="rId11" w:anchor="1012" w:history="1">
        <w:r w:rsidRPr="00586C4D">
          <w:rPr>
            <w:rFonts w:ascii="Arial" w:eastAsia="Times New Roman" w:hAnsi="Arial" w:cs="Arial"/>
            <w:color w:val="2060A4"/>
            <w:sz w:val="23"/>
            <w:szCs w:val="23"/>
            <w:u w:val="single"/>
            <w:bdr w:val="none" w:sz="0" w:space="0" w:color="auto" w:frame="1"/>
            <w:lang w:eastAsia="ru-RU"/>
          </w:rPr>
          <w:t>пункте 1.12</w:t>
        </w:r>
      </w:hyperlink>
      <w:r w:rsidRPr="00586C4D">
        <w:rPr>
          <w:rFonts w:ascii="Arial" w:eastAsia="Times New Roman" w:hAnsi="Arial" w:cs="Arial"/>
          <w:color w:val="333333"/>
          <w:sz w:val="23"/>
          <w:szCs w:val="23"/>
          <w:lang w:eastAsia="ru-RU"/>
        </w:rPr>
        <w:t>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2.2. Образовательная программа имеет следующую структуру:</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общий гуманитарный и социально-экономический цикл;</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математический и общий естественнонаучный цикл;</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общепрофессиональный цикл;</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профессиональный цикл;</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государственная итоговая аттестация, которая завершается присвоением квалификации специалиста среднего звена, указанной в </w:t>
      </w:r>
      <w:hyperlink r:id="rId12" w:anchor="1012" w:history="1">
        <w:r w:rsidRPr="00586C4D">
          <w:rPr>
            <w:rFonts w:ascii="Arial" w:eastAsia="Times New Roman" w:hAnsi="Arial" w:cs="Arial"/>
            <w:color w:val="2060A4"/>
            <w:sz w:val="23"/>
            <w:szCs w:val="23"/>
            <w:u w:val="single"/>
            <w:bdr w:val="none" w:sz="0" w:space="0" w:color="auto" w:frame="1"/>
            <w:lang w:eastAsia="ru-RU"/>
          </w:rPr>
          <w:t>пункте 1.12</w:t>
        </w:r>
      </w:hyperlink>
      <w:r w:rsidRPr="00586C4D">
        <w:rPr>
          <w:rFonts w:ascii="Arial" w:eastAsia="Times New Roman" w:hAnsi="Arial" w:cs="Arial"/>
          <w:color w:val="333333"/>
          <w:sz w:val="23"/>
          <w:szCs w:val="23"/>
          <w:lang w:eastAsia="ru-RU"/>
        </w:rPr>
        <w:t> настоящего ФГОС СПО.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Таблица</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Структура и объем образовательной программы</w:t>
      </w:r>
    </w:p>
    <w:tbl>
      <w:tblPr>
        <w:tblW w:w="0" w:type="auto"/>
        <w:tblCellMar>
          <w:top w:w="15" w:type="dxa"/>
          <w:left w:w="15" w:type="dxa"/>
          <w:bottom w:w="15" w:type="dxa"/>
          <w:right w:w="15" w:type="dxa"/>
        </w:tblCellMar>
        <w:tblLook w:val="04A0" w:firstRow="1" w:lastRow="0" w:firstColumn="1" w:lastColumn="0" w:noHBand="0" w:noVBand="1"/>
      </w:tblPr>
      <w:tblGrid>
        <w:gridCol w:w="6554"/>
        <w:gridCol w:w="2831"/>
      </w:tblGrid>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Структура образовательной программы</w:t>
            </w:r>
          </w:p>
        </w:tc>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Объем образовательной программы в академических часах</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Общий гуманитарный и социально-экономический цикл</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не менее 324</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Математический и общий естественнонаучный цикл</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не менее 108</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Общепрофессиональный цикл</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не менее 468</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цикл</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не менее 1008</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Государственная итоговая аттестация</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216</w:t>
            </w:r>
          </w:p>
        </w:tc>
      </w:tr>
      <w:tr w:rsidR="00586C4D" w:rsidRPr="00586C4D" w:rsidTr="00586C4D">
        <w:tc>
          <w:tcPr>
            <w:tcW w:w="0" w:type="auto"/>
            <w:gridSpan w:val="2"/>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Общий объем образовательной программы:</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на базе среднего общего образования</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2952</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4464</w:t>
            </w:r>
          </w:p>
        </w:tc>
      </w:tr>
    </w:tbl>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w:t>
      </w:r>
      <w:r w:rsidRPr="00586C4D">
        <w:rPr>
          <w:rFonts w:ascii="Arial" w:eastAsia="Times New Roman" w:hAnsi="Arial" w:cs="Arial"/>
          <w:color w:val="333333"/>
          <w:sz w:val="23"/>
          <w:szCs w:val="23"/>
          <w:lang w:eastAsia="ru-RU"/>
        </w:rPr>
        <w:lastRenderedPageBreak/>
        <w:t>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r:id="rId13" w:anchor="1302" w:history="1">
        <w:r w:rsidRPr="00586C4D">
          <w:rPr>
            <w:rFonts w:ascii="Arial" w:eastAsia="Times New Roman" w:hAnsi="Arial" w:cs="Arial"/>
            <w:color w:val="2060A4"/>
            <w:sz w:val="23"/>
            <w:szCs w:val="23"/>
            <w:u w:val="single"/>
            <w:bdr w:val="none" w:sz="0" w:space="0" w:color="auto" w:frame="1"/>
            <w:lang w:eastAsia="ru-RU"/>
          </w:rPr>
          <w:t>Таблицей</w:t>
        </w:r>
      </w:hyperlink>
      <w:r w:rsidRPr="00586C4D">
        <w:rPr>
          <w:rFonts w:ascii="Arial" w:eastAsia="Times New Roman" w:hAnsi="Arial" w:cs="Arial"/>
          <w:color w:val="333333"/>
          <w:sz w:val="23"/>
          <w:szCs w:val="23"/>
          <w:lang w:eastAsia="ru-RU"/>
        </w:rPr>
        <w:t> настоящего ФГОС СПО, в очно-заочной форме обучения - не менее 25 процентов, в заочной форме - не менее 10 процентов.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В профессиональный цикл образовательной программы входят следующие виды практик: учебная практика и производственная практика.</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w:t>
      </w:r>
      <w:r w:rsidRPr="00586C4D">
        <w:rPr>
          <w:rFonts w:ascii="Arial" w:eastAsia="Times New Roman" w:hAnsi="Arial" w:cs="Arial"/>
          <w:color w:val="333333"/>
          <w:sz w:val="23"/>
          <w:szCs w:val="23"/>
          <w:lang w:eastAsia="ru-RU"/>
        </w:rPr>
        <w:lastRenderedPageBreak/>
        <w:t>реализовываются как в несколько периодов, так и рассредоточено, чередуясь с теоретическими занятиями в рамках профессиональных модулей.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III. Требования к результатам освоения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3.1. В результате освоения образовательной программы у выпускника должны быть сформированы общие и профессиональные компетенции.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3.2. Выпускник, освоивший образовательную программу, должен обладать следующими общими компетенциями (далее - ОК):</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01. Выбирать способы решения задач профессиональной деятельности применительно к различным контекстам;</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03. Планировать и реализовывать собственное профессиональное и личностное развитие;</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04. Работать в коллективе и команде, эффективно взаимодействовать с коллегами, руководством, клиентами;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07. Содействовать сохранению окружающей среды, ресурсосбережению, эффективно действовать в чрезвычайных ситуациях;</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09. Использовать информационные технологии в профессиональной деятельности;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10. Пользоваться профессиональной документацией на государственном и иностранном языках;</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ОК 11. Использовать знания по финансовой грамотности, планировать предпринимательскую деятельность в профессиональной сфере.</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lastRenderedPageBreak/>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ведение расчетных операций;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осуществление кредитных операций.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3.4.1. Ведение расчетных операций: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1.1. Осуществлять расчетно-кассовое обслуживание клиентов;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1.2. Осуществлять безналичные платежи с использованием различных форм расчетов в национальной и иностранной валютах;</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1.3. Осуществлять расчетное обслуживание счетов бюджетов различных уровней;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1.4. Осуществлять межбанковские расчеты;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1.5. Осуществлять международные расчеты по экспортно-импортным операциям;</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1.6. Обслуживать расчетные операции с использованием различных видов платежных карт.</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3.4.2. Осуществление кредитных операций: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2.1. Оценивать кредитоспособность клиентов;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2.2. Осуществлять и оформлять выдачу кредитов;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2.3. Осуществлять сопровождение выданных кредитов;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2.4. Проводить операции на рынке межбанковских кредитов;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ПК 2.5. Формировать и регулировать резервы на возможные потери по кредитам.</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r:id="rId14" w:anchor="1200" w:history="1">
        <w:r w:rsidRPr="00586C4D">
          <w:rPr>
            <w:rFonts w:ascii="Arial" w:eastAsia="Times New Roman" w:hAnsi="Arial" w:cs="Arial"/>
            <w:color w:val="2060A4"/>
            <w:sz w:val="23"/>
            <w:szCs w:val="23"/>
            <w:u w:val="single"/>
            <w:bdr w:val="none" w:sz="0" w:space="0" w:color="auto" w:frame="1"/>
            <w:lang w:eastAsia="ru-RU"/>
          </w:rPr>
          <w:t>приложение № 2</w:t>
        </w:r>
      </w:hyperlink>
      <w:r w:rsidRPr="00586C4D">
        <w:rPr>
          <w:rFonts w:ascii="Arial" w:eastAsia="Times New Roman" w:hAnsi="Arial" w:cs="Arial"/>
          <w:color w:val="333333"/>
          <w:sz w:val="23"/>
          <w:szCs w:val="23"/>
          <w:lang w:eastAsia="ru-RU"/>
        </w:rPr>
        <w:t> к ФГОС СПО).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3.6. Минимальные требования к результатам освоения основных видов деятельности образовательной программы указаны в </w:t>
      </w:r>
      <w:hyperlink r:id="rId15" w:anchor="1300" w:history="1">
        <w:r w:rsidRPr="00586C4D">
          <w:rPr>
            <w:rFonts w:ascii="Arial" w:eastAsia="Times New Roman" w:hAnsi="Arial" w:cs="Arial"/>
            <w:color w:val="2060A4"/>
            <w:sz w:val="23"/>
            <w:szCs w:val="23"/>
            <w:u w:val="single"/>
            <w:bdr w:val="none" w:sz="0" w:space="0" w:color="auto" w:frame="1"/>
            <w:lang w:eastAsia="ru-RU"/>
          </w:rPr>
          <w:t>приложении № 3</w:t>
        </w:r>
      </w:hyperlink>
      <w:r w:rsidRPr="00586C4D">
        <w:rPr>
          <w:rFonts w:ascii="Arial" w:eastAsia="Times New Roman" w:hAnsi="Arial" w:cs="Arial"/>
          <w:color w:val="333333"/>
          <w:sz w:val="23"/>
          <w:szCs w:val="23"/>
          <w:lang w:eastAsia="ru-RU"/>
        </w:rPr>
        <w:t> к настоящему ФГОС СПО.</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lastRenderedPageBreak/>
        <w:t>IV. Требования к условиям реализации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4.2. Общесистемные требования к условиям реализации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 Требования к материально-техническому и учебно-методическому обеспечению реализации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4.3.3. Образовательная организация должна быть обеспечена необходимым комплектом лицензионного программного обеспечения.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lastRenderedPageBreak/>
        <w:t>В качестве основной литературы образовательная организация использует учебники, учебные пособия, предусмотренные ПООП.</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4.3.6. Образовательная программа должна обеспечиваться учебно-методической документацией по всем учебным дисциплинам (модулям).</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4.4. Требования к кадровым условиям реализации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r:id="rId16" w:anchor="1006" w:history="1">
        <w:r w:rsidRPr="00586C4D">
          <w:rPr>
            <w:rFonts w:ascii="Arial" w:eastAsia="Times New Roman" w:hAnsi="Arial" w:cs="Arial"/>
            <w:color w:val="2060A4"/>
            <w:sz w:val="23"/>
            <w:szCs w:val="23"/>
            <w:u w:val="single"/>
            <w:bdr w:val="none" w:sz="0" w:space="0" w:color="auto" w:frame="1"/>
            <w:lang w:eastAsia="ru-RU"/>
          </w:rPr>
          <w:t>пункте 1.6</w:t>
        </w:r>
      </w:hyperlink>
      <w:r w:rsidRPr="00586C4D">
        <w:rPr>
          <w:rFonts w:ascii="Arial" w:eastAsia="Times New Roman" w:hAnsi="Arial" w:cs="Arial"/>
          <w:color w:val="333333"/>
          <w:sz w:val="23"/>
          <w:szCs w:val="23"/>
          <w:lang w:eastAsia="ru-RU"/>
        </w:rPr>
        <w:t>настоящего ФГОС СПО (имеющих стаж работы в данной профессиональной области не менее 3 лет).</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r:id="rId17" w:anchor="1006" w:history="1">
        <w:r w:rsidRPr="00586C4D">
          <w:rPr>
            <w:rFonts w:ascii="Arial" w:eastAsia="Times New Roman" w:hAnsi="Arial" w:cs="Arial"/>
            <w:color w:val="2060A4"/>
            <w:sz w:val="23"/>
            <w:szCs w:val="23"/>
            <w:u w:val="single"/>
            <w:bdr w:val="none" w:sz="0" w:space="0" w:color="auto" w:frame="1"/>
            <w:lang w:eastAsia="ru-RU"/>
          </w:rPr>
          <w:t>пункте 1.6</w:t>
        </w:r>
      </w:hyperlink>
      <w:r w:rsidRPr="00586C4D">
        <w:rPr>
          <w:rFonts w:ascii="Arial" w:eastAsia="Times New Roman" w:hAnsi="Arial" w:cs="Arial"/>
          <w:color w:val="333333"/>
          <w:sz w:val="23"/>
          <w:szCs w:val="23"/>
          <w:lang w:eastAsia="ru-RU"/>
        </w:rPr>
        <w:t> настоящего ФГОС СПО, не реже 1 раза в 3 года с учетом расширения спектра профессиональных компетенций.</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r:id="rId18" w:anchor="1006" w:history="1">
        <w:r w:rsidRPr="00586C4D">
          <w:rPr>
            <w:rFonts w:ascii="Arial" w:eastAsia="Times New Roman" w:hAnsi="Arial" w:cs="Arial"/>
            <w:color w:val="2060A4"/>
            <w:sz w:val="23"/>
            <w:szCs w:val="23"/>
            <w:u w:val="single"/>
            <w:bdr w:val="none" w:sz="0" w:space="0" w:color="auto" w:frame="1"/>
            <w:lang w:eastAsia="ru-RU"/>
          </w:rPr>
          <w:t>пункте 1.6</w:t>
        </w:r>
      </w:hyperlink>
      <w:r w:rsidRPr="00586C4D">
        <w:rPr>
          <w:rFonts w:ascii="Arial" w:eastAsia="Times New Roman" w:hAnsi="Arial" w:cs="Arial"/>
          <w:color w:val="333333"/>
          <w:sz w:val="23"/>
          <w:szCs w:val="23"/>
          <w:lang w:eastAsia="ru-RU"/>
        </w:rPr>
        <w:t>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4.5. Требования к финансовым условиям реализации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lastRenderedPageBreak/>
        <w:t>4.6. Требования к применяемым механизмам оценки качества образовательной программы.</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0"/>
          <w:szCs w:val="20"/>
          <w:vertAlign w:val="superscript"/>
          <w:lang w:eastAsia="ru-RU"/>
        </w:rPr>
        <w:t>1</w:t>
      </w:r>
      <w:r w:rsidRPr="00586C4D">
        <w:rPr>
          <w:rFonts w:ascii="Arial" w:eastAsia="Times New Roman" w:hAnsi="Arial" w:cs="Arial"/>
          <w:color w:val="333333"/>
          <w:sz w:val="23"/>
          <w:szCs w:val="23"/>
          <w:lang w:eastAsia="ru-RU"/>
        </w:rPr>
        <w:t> Таблица приложения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 с изменениями, внесенными приказом Министерства труда и социальной защиты Российской Федерации от 9 марта 2017 г. № 254н «О внесении изменения в приложение к приказу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 46168).</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0"/>
          <w:szCs w:val="20"/>
          <w:vertAlign w:val="superscript"/>
          <w:lang w:eastAsia="ru-RU"/>
        </w:rPr>
        <w:t>2</w:t>
      </w:r>
      <w:r w:rsidRPr="00586C4D">
        <w:rPr>
          <w:rFonts w:ascii="Arial" w:eastAsia="Times New Roman" w:hAnsi="Arial" w:cs="Arial"/>
          <w:color w:val="333333"/>
          <w:sz w:val="23"/>
          <w:szCs w:val="23"/>
          <w:lang w:eastAsia="ru-RU"/>
        </w:rPr>
        <w:t> Статья 14 Федерального закона от 29 декабря 2012 г. № 273-ФЭ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2018, № 1, ст. 57.).</w:t>
      </w:r>
    </w:p>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Приложение № 1</w:t>
      </w:r>
      <w:r w:rsidRPr="00586C4D">
        <w:rPr>
          <w:rFonts w:ascii="Arial" w:eastAsia="Times New Roman" w:hAnsi="Arial" w:cs="Arial"/>
          <w:color w:val="333333"/>
          <w:sz w:val="23"/>
          <w:szCs w:val="23"/>
          <w:lang w:eastAsia="ru-RU"/>
        </w:rPr>
        <w:br/>
        <w:t>к </w:t>
      </w:r>
      <w:hyperlink r:id="rId19" w:anchor="1000" w:history="1">
        <w:r w:rsidRPr="00586C4D">
          <w:rPr>
            <w:rFonts w:ascii="Arial" w:eastAsia="Times New Roman" w:hAnsi="Arial" w:cs="Arial"/>
            <w:color w:val="2060A4"/>
            <w:sz w:val="23"/>
            <w:szCs w:val="23"/>
            <w:u w:val="single"/>
            <w:bdr w:val="none" w:sz="0" w:space="0" w:color="auto" w:frame="1"/>
            <w:lang w:eastAsia="ru-RU"/>
          </w:rPr>
          <w:t>федеральному государственному</w:t>
        </w:r>
        <w:r w:rsidRPr="00586C4D">
          <w:rPr>
            <w:rFonts w:ascii="Arial" w:eastAsia="Times New Roman" w:hAnsi="Arial" w:cs="Arial"/>
            <w:color w:val="2060A4"/>
            <w:sz w:val="23"/>
            <w:szCs w:val="23"/>
            <w:bdr w:val="none" w:sz="0" w:space="0" w:color="auto" w:frame="1"/>
            <w:lang w:eastAsia="ru-RU"/>
          </w:rPr>
          <w:br/>
        </w:r>
        <w:r w:rsidRPr="00586C4D">
          <w:rPr>
            <w:rFonts w:ascii="Arial" w:eastAsia="Times New Roman" w:hAnsi="Arial" w:cs="Arial"/>
            <w:color w:val="2060A4"/>
            <w:sz w:val="23"/>
            <w:szCs w:val="23"/>
            <w:u w:val="single"/>
            <w:bdr w:val="none" w:sz="0" w:space="0" w:color="auto" w:frame="1"/>
            <w:lang w:eastAsia="ru-RU"/>
          </w:rPr>
          <w:t>образовательному стандарту</w:t>
        </w:r>
      </w:hyperlink>
      <w:r w:rsidRPr="00586C4D">
        <w:rPr>
          <w:rFonts w:ascii="Arial" w:eastAsia="Times New Roman" w:hAnsi="Arial" w:cs="Arial"/>
          <w:color w:val="333333"/>
          <w:sz w:val="23"/>
          <w:szCs w:val="23"/>
          <w:lang w:eastAsia="ru-RU"/>
        </w:rPr>
        <w:t> среднего</w:t>
      </w:r>
      <w:r w:rsidRPr="00586C4D">
        <w:rPr>
          <w:rFonts w:ascii="Arial" w:eastAsia="Times New Roman" w:hAnsi="Arial" w:cs="Arial"/>
          <w:color w:val="333333"/>
          <w:sz w:val="23"/>
          <w:szCs w:val="23"/>
          <w:lang w:eastAsia="ru-RU"/>
        </w:rPr>
        <w:br/>
        <w:t>профессионального образования по</w:t>
      </w:r>
      <w:r w:rsidRPr="00586C4D">
        <w:rPr>
          <w:rFonts w:ascii="Arial" w:eastAsia="Times New Roman" w:hAnsi="Arial" w:cs="Arial"/>
          <w:color w:val="333333"/>
          <w:sz w:val="23"/>
          <w:szCs w:val="23"/>
          <w:lang w:eastAsia="ru-RU"/>
        </w:rPr>
        <w:br/>
        <w:t>специальности 38.02.07 Банковское дело</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w:t>
      </w:r>
      <w:r w:rsidRPr="00586C4D">
        <w:rPr>
          <w:rFonts w:ascii="Arial" w:eastAsia="Times New Roman" w:hAnsi="Arial" w:cs="Arial"/>
          <w:b/>
          <w:bCs/>
          <w:color w:val="333333"/>
          <w:sz w:val="26"/>
          <w:szCs w:val="26"/>
          <w:lang w:eastAsia="ru-RU"/>
        </w:rPr>
        <w:lastRenderedPageBreak/>
        <w:t>специальности</w:t>
      </w:r>
      <w:r w:rsidRPr="00586C4D">
        <w:rPr>
          <w:rFonts w:ascii="Arial" w:eastAsia="Times New Roman" w:hAnsi="Arial" w:cs="Arial"/>
          <w:b/>
          <w:bCs/>
          <w:color w:val="333333"/>
          <w:sz w:val="26"/>
          <w:szCs w:val="26"/>
          <w:lang w:eastAsia="ru-RU"/>
        </w:rPr>
        <w:br/>
        <w:t>38.02.07 Банковское дело</w:t>
      </w:r>
    </w:p>
    <w:tbl>
      <w:tblPr>
        <w:tblW w:w="0" w:type="auto"/>
        <w:tblCellMar>
          <w:top w:w="15" w:type="dxa"/>
          <w:left w:w="15" w:type="dxa"/>
          <w:bottom w:w="15" w:type="dxa"/>
          <w:right w:w="15" w:type="dxa"/>
        </w:tblCellMar>
        <w:tblLook w:val="04A0" w:firstRow="1" w:lastRow="0" w:firstColumn="1" w:lastColumn="0" w:noHBand="0" w:noVBand="1"/>
      </w:tblPr>
      <w:tblGrid>
        <w:gridCol w:w="2437"/>
        <w:gridCol w:w="6948"/>
      </w:tblGrid>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Код профессионального стандарта</w:t>
            </w:r>
          </w:p>
        </w:tc>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Наименование профессионального стандарта</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1</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2</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08.020</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стандарт «Специалист по работе с залогами», утвержден приказом Министерства труда и социальной защиты Российской Федерации от 19 марта 2015 г. № 176н (зарегистрирован Министерством юстиции Российской Федерации 9 апреля 2015 г., регистрационный № 36798)</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08.011</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стандарт «Специалист по ипотечному кредитованию», утвержден приказом Министерства труда и социальной защиты Российской Федерации от 19 марта 2015 г. № 171н (зарегистрирован Министерством юстиции Российской Федерации 31 марта 2015 г., регистрационный № 36640)</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08.019</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стандарт «Специалист по потребительскому кредитованию», утвержден приказом Министерства труда и социальной защиты Российской Федерации от 14 ноября 2016 г. № 646н (зарегистрирован Министерством юстиции Российской Федерации 24 ноября 2016 г., регистрационный № 44422)</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08.014</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стандарт «Специалист по работе с просроченной задолженностью», утвержден приказом Министерства труда и социальной защиты Российской Федерации от 7 сентября 2015 г. № 590н (зарегистрирован Министерством юстиции Российской Федерации 29 сентября 2015 г., регистрационный № 39053)</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08.027</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стандарт «Специалист по платежным услугам», утвержден приказом Министерства труда и социальной защиты Российской Федерации от 14 ноября 2016 г. № 645н (зарегистрирован Министерством юстиции Российской Федерации 24 ноября 2016 г., регистрационный № 44419)</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08.013</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Профессиональный стандарт «Специалист по операциям на межбанковском рынке», утвержден приказом Министерства труда и социальной защиты Российской Федерации от 14 ноября 2016 г. № 643н (зарегистрирован Министерством юстиции Российской Федерации 24 ноября 2016 г., регистрационный № 44421)</w:t>
            </w:r>
          </w:p>
        </w:tc>
      </w:tr>
    </w:tbl>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Приложение № 2</w:t>
      </w:r>
      <w:r w:rsidRPr="00586C4D">
        <w:rPr>
          <w:rFonts w:ascii="Arial" w:eastAsia="Times New Roman" w:hAnsi="Arial" w:cs="Arial"/>
          <w:color w:val="333333"/>
          <w:sz w:val="23"/>
          <w:szCs w:val="23"/>
          <w:lang w:eastAsia="ru-RU"/>
        </w:rPr>
        <w:br/>
        <w:t>к </w:t>
      </w:r>
      <w:hyperlink r:id="rId20" w:anchor="1000" w:history="1">
        <w:r w:rsidRPr="00586C4D">
          <w:rPr>
            <w:rFonts w:ascii="Arial" w:eastAsia="Times New Roman" w:hAnsi="Arial" w:cs="Arial"/>
            <w:color w:val="2060A4"/>
            <w:sz w:val="23"/>
            <w:szCs w:val="23"/>
            <w:u w:val="single"/>
            <w:bdr w:val="none" w:sz="0" w:space="0" w:color="auto" w:frame="1"/>
            <w:lang w:eastAsia="ru-RU"/>
          </w:rPr>
          <w:t>федеральному государственному</w:t>
        </w:r>
        <w:r w:rsidRPr="00586C4D">
          <w:rPr>
            <w:rFonts w:ascii="Arial" w:eastAsia="Times New Roman" w:hAnsi="Arial" w:cs="Arial"/>
            <w:color w:val="2060A4"/>
            <w:sz w:val="23"/>
            <w:szCs w:val="23"/>
            <w:bdr w:val="none" w:sz="0" w:space="0" w:color="auto" w:frame="1"/>
            <w:lang w:eastAsia="ru-RU"/>
          </w:rPr>
          <w:br/>
        </w:r>
        <w:r w:rsidRPr="00586C4D">
          <w:rPr>
            <w:rFonts w:ascii="Arial" w:eastAsia="Times New Roman" w:hAnsi="Arial" w:cs="Arial"/>
            <w:color w:val="2060A4"/>
            <w:sz w:val="23"/>
            <w:szCs w:val="23"/>
            <w:u w:val="single"/>
            <w:bdr w:val="none" w:sz="0" w:space="0" w:color="auto" w:frame="1"/>
            <w:lang w:eastAsia="ru-RU"/>
          </w:rPr>
          <w:t>образовательному стандарту</w:t>
        </w:r>
      </w:hyperlink>
      <w:r w:rsidRPr="00586C4D">
        <w:rPr>
          <w:rFonts w:ascii="Arial" w:eastAsia="Times New Roman" w:hAnsi="Arial" w:cs="Arial"/>
          <w:color w:val="333333"/>
          <w:sz w:val="23"/>
          <w:szCs w:val="23"/>
          <w:lang w:eastAsia="ru-RU"/>
        </w:rPr>
        <w:t> среднего</w:t>
      </w:r>
      <w:r w:rsidRPr="00586C4D">
        <w:rPr>
          <w:rFonts w:ascii="Arial" w:eastAsia="Times New Roman" w:hAnsi="Arial" w:cs="Arial"/>
          <w:color w:val="333333"/>
          <w:sz w:val="23"/>
          <w:szCs w:val="23"/>
          <w:lang w:eastAsia="ru-RU"/>
        </w:rPr>
        <w:br/>
        <w:t>профессионального образования по</w:t>
      </w:r>
      <w:r w:rsidRPr="00586C4D">
        <w:rPr>
          <w:rFonts w:ascii="Arial" w:eastAsia="Times New Roman" w:hAnsi="Arial" w:cs="Arial"/>
          <w:color w:val="333333"/>
          <w:sz w:val="23"/>
          <w:szCs w:val="23"/>
          <w:lang w:eastAsia="ru-RU"/>
        </w:rPr>
        <w:br/>
        <w:t>специальности 38.02.07 Банковское дело</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Перечень профессий рабочих, должностей служащих, рекомендуемых к освоению в рамках программы подготовки специалистов среднего звена по специальности</w:t>
      </w:r>
      <w:r w:rsidRPr="00586C4D">
        <w:rPr>
          <w:rFonts w:ascii="Arial" w:eastAsia="Times New Roman" w:hAnsi="Arial" w:cs="Arial"/>
          <w:b/>
          <w:bCs/>
          <w:color w:val="333333"/>
          <w:sz w:val="26"/>
          <w:szCs w:val="26"/>
          <w:lang w:eastAsia="ru-RU"/>
        </w:rPr>
        <w:br/>
        <w:t>38.02.07 Банковское дело</w:t>
      </w:r>
    </w:p>
    <w:tbl>
      <w:tblPr>
        <w:tblW w:w="0" w:type="auto"/>
        <w:tblCellMar>
          <w:top w:w="15" w:type="dxa"/>
          <w:left w:w="15" w:type="dxa"/>
          <w:bottom w:w="15" w:type="dxa"/>
          <w:right w:w="15" w:type="dxa"/>
        </w:tblCellMar>
        <w:tblLook w:val="04A0" w:firstRow="1" w:lastRow="0" w:firstColumn="1" w:lastColumn="0" w:noHBand="0" w:noVBand="1"/>
      </w:tblPr>
      <w:tblGrid>
        <w:gridCol w:w="6818"/>
        <w:gridCol w:w="2567"/>
      </w:tblGrid>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 xml:space="preserve">Код по Перечню профессий рабочих, должностей служащих, по которым осуществляется профессиональное обучение, </w:t>
            </w:r>
            <w:r w:rsidRPr="00586C4D">
              <w:rPr>
                <w:rFonts w:ascii="Times New Roman" w:eastAsia="Times New Roman" w:hAnsi="Times New Roman" w:cs="Times New Roman"/>
                <w:b/>
                <w:bCs/>
                <w:sz w:val="24"/>
                <w:szCs w:val="24"/>
                <w:lang w:eastAsia="ru-RU"/>
              </w:rPr>
              <w:lastRenderedPageBreak/>
              <w:t>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lastRenderedPageBreak/>
              <w:t xml:space="preserve">Наименование профессий рабочих, </w:t>
            </w:r>
            <w:r w:rsidRPr="00586C4D">
              <w:rPr>
                <w:rFonts w:ascii="Times New Roman" w:eastAsia="Times New Roman" w:hAnsi="Times New Roman" w:cs="Times New Roman"/>
                <w:b/>
                <w:bCs/>
                <w:sz w:val="24"/>
                <w:szCs w:val="24"/>
                <w:lang w:eastAsia="ru-RU"/>
              </w:rPr>
              <w:lastRenderedPageBreak/>
              <w:t>должностей служащих</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lastRenderedPageBreak/>
              <w:t>20002</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Агент банка</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23548</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Контролер (Сберегательного банка)</w:t>
            </w:r>
          </w:p>
        </w:tc>
      </w:tr>
    </w:tbl>
    <w:p w:rsidR="00586C4D" w:rsidRPr="00586C4D" w:rsidRDefault="00586C4D" w:rsidP="00586C4D">
      <w:pPr>
        <w:shd w:val="clear" w:color="auto" w:fill="FFFFFF"/>
        <w:spacing w:after="255" w:line="270" w:lineRule="atLeast"/>
        <w:rPr>
          <w:rFonts w:ascii="Arial" w:eastAsia="Times New Roman" w:hAnsi="Arial" w:cs="Arial"/>
          <w:color w:val="333333"/>
          <w:sz w:val="23"/>
          <w:szCs w:val="23"/>
          <w:lang w:eastAsia="ru-RU"/>
        </w:rPr>
      </w:pPr>
      <w:r w:rsidRPr="00586C4D">
        <w:rPr>
          <w:rFonts w:ascii="Arial" w:eastAsia="Times New Roman" w:hAnsi="Arial" w:cs="Arial"/>
          <w:color w:val="333333"/>
          <w:sz w:val="23"/>
          <w:szCs w:val="23"/>
          <w:lang w:eastAsia="ru-RU"/>
        </w:rPr>
        <w:t>Приложение № 3</w:t>
      </w:r>
      <w:r w:rsidRPr="00586C4D">
        <w:rPr>
          <w:rFonts w:ascii="Arial" w:eastAsia="Times New Roman" w:hAnsi="Arial" w:cs="Arial"/>
          <w:color w:val="333333"/>
          <w:sz w:val="23"/>
          <w:szCs w:val="23"/>
          <w:lang w:eastAsia="ru-RU"/>
        </w:rPr>
        <w:br/>
        <w:t>к </w:t>
      </w:r>
      <w:hyperlink r:id="rId21" w:anchor="1000" w:history="1">
        <w:r w:rsidRPr="00586C4D">
          <w:rPr>
            <w:rFonts w:ascii="Arial" w:eastAsia="Times New Roman" w:hAnsi="Arial" w:cs="Arial"/>
            <w:color w:val="2060A4"/>
            <w:sz w:val="23"/>
            <w:szCs w:val="23"/>
            <w:u w:val="single"/>
            <w:bdr w:val="none" w:sz="0" w:space="0" w:color="auto" w:frame="1"/>
            <w:lang w:eastAsia="ru-RU"/>
          </w:rPr>
          <w:t>федеральному государственному</w:t>
        </w:r>
        <w:r w:rsidRPr="00586C4D">
          <w:rPr>
            <w:rFonts w:ascii="Arial" w:eastAsia="Times New Roman" w:hAnsi="Arial" w:cs="Arial"/>
            <w:color w:val="2060A4"/>
            <w:sz w:val="23"/>
            <w:szCs w:val="23"/>
            <w:bdr w:val="none" w:sz="0" w:space="0" w:color="auto" w:frame="1"/>
            <w:lang w:eastAsia="ru-RU"/>
          </w:rPr>
          <w:br/>
        </w:r>
        <w:r w:rsidRPr="00586C4D">
          <w:rPr>
            <w:rFonts w:ascii="Arial" w:eastAsia="Times New Roman" w:hAnsi="Arial" w:cs="Arial"/>
            <w:color w:val="2060A4"/>
            <w:sz w:val="23"/>
            <w:szCs w:val="23"/>
            <w:u w:val="single"/>
            <w:bdr w:val="none" w:sz="0" w:space="0" w:color="auto" w:frame="1"/>
            <w:lang w:eastAsia="ru-RU"/>
          </w:rPr>
          <w:t>образовательному стандарту</w:t>
        </w:r>
      </w:hyperlink>
      <w:r w:rsidRPr="00586C4D">
        <w:rPr>
          <w:rFonts w:ascii="Arial" w:eastAsia="Times New Roman" w:hAnsi="Arial" w:cs="Arial"/>
          <w:color w:val="333333"/>
          <w:sz w:val="23"/>
          <w:szCs w:val="23"/>
          <w:lang w:eastAsia="ru-RU"/>
        </w:rPr>
        <w:t> среднего</w:t>
      </w:r>
      <w:r w:rsidRPr="00586C4D">
        <w:rPr>
          <w:rFonts w:ascii="Arial" w:eastAsia="Times New Roman" w:hAnsi="Arial" w:cs="Arial"/>
          <w:color w:val="333333"/>
          <w:sz w:val="23"/>
          <w:szCs w:val="23"/>
          <w:lang w:eastAsia="ru-RU"/>
        </w:rPr>
        <w:br/>
        <w:t>профессионального образования по</w:t>
      </w:r>
      <w:r w:rsidRPr="00586C4D">
        <w:rPr>
          <w:rFonts w:ascii="Arial" w:eastAsia="Times New Roman" w:hAnsi="Arial" w:cs="Arial"/>
          <w:color w:val="333333"/>
          <w:sz w:val="23"/>
          <w:szCs w:val="23"/>
          <w:lang w:eastAsia="ru-RU"/>
        </w:rPr>
        <w:br/>
        <w:t>специальности 38.02.07 Банковское дело</w:t>
      </w:r>
    </w:p>
    <w:p w:rsidR="00586C4D" w:rsidRPr="00586C4D" w:rsidRDefault="00586C4D" w:rsidP="00586C4D">
      <w:pPr>
        <w:shd w:val="clear" w:color="auto" w:fill="FFFFFF"/>
        <w:spacing w:after="255" w:line="270" w:lineRule="atLeast"/>
        <w:outlineLvl w:val="2"/>
        <w:rPr>
          <w:rFonts w:ascii="Arial" w:eastAsia="Times New Roman" w:hAnsi="Arial" w:cs="Arial"/>
          <w:b/>
          <w:bCs/>
          <w:color w:val="333333"/>
          <w:sz w:val="26"/>
          <w:szCs w:val="26"/>
          <w:lang w:eastAsia="ru-RU"/>
        </w:rPr>
      </w:pPr>
      <w:r w:rsidRPr="00586C4D">
        <w:rPr>
          <w:rFonts w:ascii="Arial" w:eastAsia="Times New Roman" w:hAnsi="Arial" w:cs="Arial"/>
          <w:b/>
          <w:bCs/>
          <w:color w:val="333333"/>
          <w:sz w:val="26"/>
          <w:szCs w:val="26"/>
          <w:lang w:eastAsia="ru-RU"/>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38.02.07 Банковское дело</w:t>
      </w:r>
    </w:p>
    <w:tbl>
      <w:tblPr>
        <w:tblW w:w="0" w:type="auto"/>
        <w:tblCellMar>
          <w:top w:w="15" w:type="dxa"/>
          <w:left w:w="15" w:type="dxa"/>
          <w:bottom w:w="15" w:type="dxa"/>
          <w:right w:w="15" w:type="dxa"/>
        </w:tblCellMar>
        <w:tblLook w:val="04A0" w:firstRow="1" w:lastRow="0" w:firstColumn="1" w:lastColumn="0" w:noHBand="0" w:noVBand="1"/>
      </w:tblPr>
      <w:tblGrid>
        <w:gridCol w:w="2000"/>
        <w:gridCol w:w="7385"/>
      </w:tblGrid>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Основной вид деятельности</w:t>
            </w:r>
          </w:p>
        </w:tc>
        <w:tc>
          <w:tcPr>
            <w:tcW w:w="0" w:type="auto"/>
            <w:hideMark/>
          </w:tcPr>
          <w:p w:rsidR="00586C4D" w:rsidRPr="00586C4D" w:rsidRDefault="00586C4D" w:rsidP="00586C4D">
            <w:pPr>
              <w:spacing w:after="0" w:line="240" w:lineRule="auto"/>
              <w:rPr>
                <w:rFonts w:ascii="Times New Roman" w:eastAsia="Times New Roman" w:hAnsi="Times New Roman" w:cs="Times New Roman"/>
                <w:b/>
                <w:bCs/>
                <w:sz w:val="24"/>
                <w:szCs w:val="24"/>
                <w:lang w:eastAsia="ru-RU"/>
              </w:rPr>
            </w:pPr>
            <w:r w:rsidRPr="00586C4D">
              <w:rPr>
                <w:rFonts w:ascii="Times New Roman" w:eastAsia="Times New Roman" w:hAnsi="Times New Roman" w:cs="Times New Roman"/>
                <w:b/>
                <w:bCs/>
                <w:sz w:val="24"/>
                <w:szCs w:val="24"/>
                <w:lang w:eastAsia="ru-RU"/>
              </w:rPr>
              <w:t>Требования к знаниям, умениям, практическому опыту</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Ведение расчетных операций</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 xml:space="preserve">знать: нормативные правовые документы, регулирующие организацию безналичных расчетов, организацию обслуживания счетов бюджетов бюджетной системы Российской Федерации, совершение операций с использованием платежных карт, операции по международным расчетам, связанным с экспортом и импортом товаров и услуг; локальные нормативные акты и методические документы в области платежных услуг; нормы международного права, определяющие правила проведения международных расчетов; содержание и порядок формирования юридических дел клиентов; порядок открытия и закрытия лицевых счетов клиентов в валюте Российской Федерации и иностранной валюте; правила совершения операций по расчетным счетам, очередность списания денежных средств; порядок оформления, представления, отзыва и возврата расчетных документов; порядок планирования операций с наличностью; порядок лимитирования остатков денежной наличности в кассах клиентов; формы расчетов и технологии совершения расчетных операций; содержание и порядок заполнения расчетных документов; порядок нумерации лицевых счетов, на которых учитываются средства бюджетов; порядок и особенности проведения операций по счетам бюджетов различных уровней; системы межбанковских расчетов; </w:t>
            </w:r>
            <w:r w:rsidRPr="00586C4D">
              <w:rPr>
                <w:rFonts w:ascii="Times New Roman" w:eastAsia="Times New Roman" w:hAnsi="Times New Roman" w:cs="Times New Roman"/>
                <w:sz w:val="24"/>
                <w:szCs w:val="24"/>
                <w:lang w:eastAsia="ru-RU"/>
              </w:rPr>
              <w:lastRenderedPageBreak/>
              <w:t xml:space="preserve">порядок проведения и учет расчетов по корреспондентским счетам, открываемым в подразделениях Банка России; порядок проведения и учет расчетов между кредитными организациями через корреспондентские счета (ЛОРО и НОСТРО); порядок проведения и учет расчетных операций между филиалами внутри одной кредитной организации; формы международных расчетов: аккредитивы, инкассо, переводы, чеки; виды платежных документов, порядок проверки их соответствия условиям и формам расчетов; порядок проведения и отражение в учете операций международных расчетов с использованием различных форм; порядок и отражение в учете переоценки средств в иностранной валюте; порядок расчета размеров открытых валютных позиций; порядок выполнения уполномоченным банком функций агента валютного контроля; меры, направленные на предотвращение использования транснациональных операций для преступных целей; системы международных финансовых телекоммуникаций; виды платежных карт и операции, проводимые с их использованием; условия и порядок выдачи платежных карт; технологии и порядок учета расчетов с использованием платежных карт, документальное оформление операций с платежными картами; типичные нарушения при совершении расчетных операций по счетам клиентов, межбанковских расчетов, операций с платежными картами.     уметь: оформлять договоры банковского счета с клиентами; проверять правильность и полноту оформления расчетных документов; открывать и закрывать лицевые счета в валюте Российской Федерации и иностранной валюте; выявлять возможность оплаты расчетных документов исходя из состояния расчетного счета клиента, вести картотеку неоплаченных расчетных документов; оформлять выписки из лицевых счетов клиентов; рассчитывать и взыскивать суммы вознаграждения за расчетное обслуживание; рассчитывать прогноз кассовых оборотов; составлять календарь выдачи наличных денег; рассчитывать минимальный остаток денежной наличности в кассе; составлять отчет о наличном денежном обороте; устанавливать лимит остатков денежной наличности в кассах клиентов; выполнять и оформлять расчеты платежными поручениями, аккредитивами в банке плательщика и в банке поставщика, платежными требованиями в банке поставщика и в банке плательщика, инкассовыми поручениями, чеками; отражать в учете операции по расчетным счетам клиентов; исполнять и оформлять операции по возврату сумм, неправильно зачисленных на счета клиентов; оформлять открытие счетов по учету доходов и средств бюджетов всех уровней; оформлять и отражать в учете операции по зачислению средств на счета бюджетов различных уровней; оформлять и отражать в учете возврат налогоплательщикам сумм ошибочно перечисленных налогов и других платежей; исполнять и оформлять операции по корреспондентскому счету, открытому в подразделении Банка России; проводить расчеты между кредитными организациями через счета ЛОРО и НОСТРО; контролировать и выверять расчеты по корреспондентским счетам; осуществлять и оформлять расчеты банка со своими филиалами; вести учет расчетных документов, не оплаченных в срок из-за отсутствия средств на корреспондентском счете; отражать в учете межбанковские расчеты; проводить и отражать в учете расчеты по экспортно-импортным операциям банковскими </w:t>
            </w:r>
            <w:r w:rsidRPr="00586C4D">
              <w:rPr>
                <w:rFonts w:ascii="Times New Roman" w:eastAsia="Times New Roman" w:hAnsi="Times New Roman" w:cs="Times New Roman"/>
                <w:sz w:val="24"/>
                <w:szCs w:val="24"/>
                <w:lang w:eastAsia="ru-RU"/>
              </w:rPr>
              <w:lastRenderedPageBreak/>
              <w:t>переводами в порядке документарного инкассо и документарного аккредитива; проводить конверсионные операции по счетам клиентов; рассчитывать и взыскивать суммы вознаграждения за проведение международных расчетов и конверсионных операций; осуществлять контроль за репатриацией валютной выручки; консультировать клиентов по вопросам открытия банковских счетов, расчетным операциям, операциям с использованием различных видов платежных карт; оформлять выдачу клиентам платежных карт; оформлять и отражать в учете расчетные и налично-денежные операции при использовании платежных карт в валюте Российской Федерации и иностранной валюте; использовать специализированное программное обеспечение для расчетного обслуживания клиентов, совершения межбанковских расчетов и операций с платежными картами; использовать специализированное программное обеспечение и программно-аппаратный комплекс для работы с расчетной (платежной) документацией и соответствующей информацией.     иметь практический опыт в: проведении расчетных операций.</w:t>
            </w:r>
          </w:p>
        </w:tc>
      </w:tr>
      <w:tr w:rsidR="00586C4D" w:rsidRPr="00586C4D" w:rsidTr="00586C4D">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lastRenderedPageBreak/>
              <w:t>Осуществление кредитных операций</w:t>
            </w:r>
          </w:p>
        </w:tc>
        <w:tc>
          <w:tcPr>
            <w:tcW w:w="0" w:type="auto"/>
            <w:hideMark/>
          </w:tcPr>
          <w:p w:rsidR="00586C4D" w:rsidRPr="00586C4D" w:rsidRDefault="00586C4D" w:rsidP="00586C4D">
            <w:pPr>
              <w:spacing w:after="0" w:line="240" w:lineRule="auto"/>
              <w:rPr>
                <w:rFonts w:ascii="Times New Roman" w:eastAsia="Times New Roman" w:hAnsi="Times New Roman" w:cs="Times New Roman"/>
                <w:sz w:val="24"/>
                <w:szCs w:val="24"/>
                <w:lang w:eastAsia="ru-RU"/>
              </w:rPr>
            </w:pPr>
            <w:r w:rsidRPr="00586C4D">
              <w:rPr>
                <w:rFonts w:ascii="Times New Roman" w:eastAsia="Times New Roman" w:hAnsi="Times New Roman" w:cs="Times New Roman"/>
                <w:sz w:val="24"/>
                <w:szCs w:val="24"/>
                <w:lang w:eastAsia="ru-RU"/>
              </w:rPr>
              <w:t xml:space="preserve">знать: нормативные правовые акты, регулирующие осуществление кредитных операций и обеспечение кредитных обязательств; законодательство Российской Федерации о противодействии легализации (отмыванию) доходов, полученных преступным путем, и финансированию терроризма; законодательство Российской Федерации о персональных данных; нормативные документы Банка России об идентификации клиентов и внутреннем контроле (аудите); рекомендации Ассоциации региональных банков России по вопросам определения кредитоспособности заемщиков; порядок взаимодействия с бюро кредитных историй; законодательство Российской Федерации о защите прав потребителей, в том числе потребителей финансовых услуг; законодательство Российской Федерации о залогах и поручительстве; гражданское законодательство Российской Федерации об ответственности за неисполнение условий договора; законодательство Российской Федерации об ипотеке; законодательство Российской Федерации о государственной регистрации прав на недвижимое имущество и сделок с ним; нормативные документы Банка России и внутренние документы банка о порядке формирования кредитными организациями резервов на возможные потери; способы и порядок предоставления и погашения различных видов кредитов; способы обеспечения возвратности кредита, виды залога; методы оценки залоговой стоимости, ликвидности предмета залога; требования, предъявляемые банком к потенциальному заемщику; состав и содержание основных источников информации о клиенте; методы оценки платежеспособности физического лица, системы кредитного скоринга; локальные нормативные акты и методические документы, касающиеся реструктуризации и рефинансирования задолженности физических лиц; бизнес-культуру потребительского кредитования; методы андеррайтинга кредитных заявок клиентов; методы андеррайтинга предмета ипотеки; методы определения класса кредитоспособности юридического лица; содержание кредитного договора, порядок его заключения, изменения условий и расторжения; состав кредитного дела и порядок его ведения; способы и порядок начисления и погашения процентов по кредитам; порядок </w:t>
            </w:r>
            <w:r w:rsidRPr="00586C4D">
              <w:rPr>
                <w:rFonts w:ascii="Times New Roman" w:eastAsia="Times New Roman" w:hAnsi="Times New Roman" w:cs="Times New Roman"/>
                <w:sz w:val="24"/>
                <w:szCs w:val="24"/>
                <w:lang w:eastAsia="ru-RU"/>
              </w:rPr>
              <w:lastRenderedPageBreak/>
              <w:t xml:space="preserve">осуществления контроля своевременности и полноты поступления платежей по кредиту и учета просроченных платежей; критерии определения проблемного кредита; типовые причины неисполнения условий кредитного договора и способы погашения просроченной задолженности; меры, принимаемые банком при нарушении условий кредитного договора; отечественную и международную практику взыскания задолженности; 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 порядок оформления и учета межбанковских кредитов; особенности делопроизводства и документооборот на межбанковском рынке; основные условия получения и погашения кредитов, предоставляемых Банком России; порядок оценки кредитного риска и определения суммы создаваемого резерва по выданному кредиту; порядок и отражение в учете формирования и регулирования резервов на возможные потери по кредитам; порядок и отражение в учете списания нереальных для взыскания кредитов; типичные нарушения при осуществлении кредитных операций.     уметь: консультировать заемщиков по условиям предоставления и порядку погашения кредитов; анализировать финансовое положение заемщика - юридического лица и технико-экономическое обоснование кредита; определять платежеспособность физического лица; оценивать качество обеспечения и кредитные риски по потребительским кредитам; проверять полноту и подлинность документов заемщика для получения кредитов; проверять качество и достаточность обеспечения возвратности кредита; составлять заключение о возможности предоставления кредита; оперативно принимать решения по предложению клиенту дополнительного банковского продукта (кросспродажа); проводить андеррайтинг кредитных заявок клиентов; проводить андеррайтинг предмета ипотеки; составлять договор о залоге; оформлять пакет документов для заключения договора о залоге; составлять график платежей по кредиту и процентам, контролировать своевременность и полноту поступления платежей; оформлять комплект документов на открытие счетов и выдачу кредитов различных видов; оформлять выписки по лицевым счетам заемщиков и разъяснять им содержащиеся в выписках данные; формировать и вести кредитные дела; составлять акты по итогам проверок сохранности обеспечения; определять возможность предоставления межбанковского кредита с учетом финансового положения контрагента; определять достаточность обеспечения возвратности межбанковского кредита; пользоваться оперативной информацией о ставках по рублевым и валютным межбанковским кредитам, получаемой по телекоммуникационным каналам; применять универсальное и специализированное программное обеспечение, необходимое для сбора и анализа информации для сотрудничества на межбанковском рынке; пользоваться справочными информационными базами данных, необходимых для сотрудничества на межбанковском рынке; оформлять и отражать в учете операции по выдаче кредитов физическим и юридическим лицам, погашению ими кредитов; оформлять и вести учет обеспечения по предоставленным кредитам; оформлять и отражать в учете сделки по предоставлению и получению кредитов на рынке межбанковского кредита; оформлять и отражать в </w:t>
            </w:r>
            <w:r w:rsidRPr="00586C4D">
              <w:rPr>
                <w:rFonts w:ascii="Times New Roman" w:eastAsia="Times New Roman" w:hAnsi="Times New Roman" w:cs="Times New Roman"/>
                <w:sz w:val="24"/>
                <w:szCs w:val="24"/>
                <w:lang w:eastAsia="ru-RU"/>
              </w:rPr>
              <w:lastRenderedPageBreak/>
              <w:t>учете начисление и взыскание процентов по кредитам; вести мониторинг финансового положения клиента; контролировать соответствие и правильность исполнения залогодателем своих обязательств; оценивать качество обслуживания долга и кредитный риск по выданным кредитам; выявлять причины ненадлежащего исполнения условий договора и выставлять требования по оплате просроченной задолженности; выбирать формы и методы взаимодействия с заемщиком, имеющим просроченную задолженность; разрабатывать систему мотивации заемщика, имеющего просроченную задолженность, и применять ее с целью обеспечения производства платежей с учетом индивидуальных особенностей заемщика и условий кредитного досье; направлять запросы в бюро кредитных историй в соответствии с требованиями действующего регламента; находить контактные данные заемщика в открытых источниках и специализированных базах данных; подбирать оптимальный способ погашения просроченной задолженности; планировать работу с заемщиком, имеющим просроченную задолженность, на основании предварительно проделанной работы и с учетом намерений заемщика по оплате просроченной задолженности; рассчитывать основные параметры реструктуризации и рефинансирования потребительского кредита; рассчитывать и отражать в учете сумму формируемого резерва; рассчитывать и отражать в учете резерв по портфелю однородных кредитов; оформлять и вести учет просроченных кредитов и просроченных процентов; оформлять и вести учет списания просроченных кредитов и просроченных процентов; использовать специализированное программное обеспечение для совершения операций по кредитованию.     иметь практический опыт в: осуществлении операций по кредитованию физических и юридических лиц.</w:t>
            </w:r>
          </w:p>
        </w:tc>
      </w:tr>
    </w:tbl>
    <w:p w:rsidR="00EE096D" w:rsidRDefault="00EE096D">
      <w:bookmarkStart w:id="1" w:name="_GoBack"/>
      <w:bookmarkEnd w:id="1"/>
    </w:p>
    <w:sectPr w:rsidR="00EE0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60"/>
    <w:rsid w:val="00036A60"/>
    <w:rsid w:val="00586C4D"/>
    <w:rsid w:val="00EE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58462">
      <w:bodyDiv w:val="1"/>
      <w:marLeft w:val="0"/>
      <w:marRight w:val="0"/>
      <w:marTop w:val="0"/>
      <w:marBottom w:val="0"/>
      <w:divBdr>
        <w:top w:val="none" w:sz="0" w:space="0" w:color="auto"/>
        <w:left w:val="none" w:sz="0" w:space="0" w:color="auto"/>
        <w:bottom w:val="none" w:sz="0" w:space="0" w:color="auto"/>
        <w:right w:val="none" w:sz="0" w:space="0" w:color="auto"/>
      </w:divBdr>
      <w:divsChild>
        <w:div w:id="298152512">
          <w:marLeft w:val="0"/>
          <w:marRight w:val="0"/>
          <w:marTop w:val="0"/>
          <w:marBottom w:val="180"/>
          <w:divBdr>
            <w:top w:val="none" w:sz="0" w:space="0" w:color="auto"/>
            <w:left w:val="none" w:sz="0" w:space="0" w:color="auto"/>
            <w:bottom w:val="none" w:sz="0" w:space="0" w:color="auto"/>
            <w:right w:val="none" w:sz="0" w:space="0" w:color="auto"/>
          </w:divBdr>
        </w:div>
        <w:div w:id="189557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787428/" TargetMode="External"/><Relationship Id="rId13" Type="http://schemas.openxmlformats.org/officeDocument/2006/relationships/hyperlink" Target="https://www.garant.ru/products/ipo/prime/doc/71787428/" TargetMode="External"/><Relationship Id="rId18" Type="http://schemas.openxmlformats.org/officeDocument/2006/relationships/hyperlink" Target="https://www.garant.ru/products/ipo/prime/doc/71787428/" TargetMode="External"/><Relationship Id="rId3" Type="http://schemas.openxmlformats.org/officeDocument/2006/relationships/settings" Target="settings.xml"/><Relationship Id="rId21" Type="http://schemas.openxmlformats.org/officeDocument/2006/relationships/hyperlink" Target="https://www.garant.ru/products/ipo/prime/doc/71787428/" TargetMode="External"/><Relationship Id="rId7" Type="http://schemas.openxmlformats.org/officeDocument/2006/relationships/hyperlink" Target="https://www.garant.ru/products/ipo/prime/doc/71787428/" TargetMode="External"/><Relationship Id="rId12" Type="http://schemas.openxmlformats.org/officeDocument/2006/relationships/hyperlink" Target="https://www.garant.ru/products/ipo/prime/doc/71787428/" TargetMode="External"/><Relationship Id="rId17" Type="http://schemas.openxmlformats.org/officeDocument/2006/relationships/hyperlink" Target="https://www.garant.ru/products/ipo/prime/doc/71787428/" TargetMode="External"/><Relationship Id="rId2" Type="http://schemas.microsoft.com/office/2007/relationships/stylesWithEffects" Target="stylesWithEffects.xml"/><Relationship Id="rId16" Type="http://schemas.openxmlformats.org/officeDocument/2006/relationships/hyperlink" Target="https://www.garant.ru/products/ipo/prime/doc/71787428/" TargetMode="External"/><Relationship Id="rId20" Type="http://schemas.openxmlformats.org/officeDocument/2006/relationships/hyperlink" Target="https://www.garant.ru/products/ipo/prime/doc/71787428/" TargetMode="External"/><Relationship Id="rId1" Type="http://schemas.openxmlformats.org/officeDocument/2006/relationships/styles" Target="styles.xml"/><Relationship Id="rId6" Type="http://schemas.openxmlformats.org/officeDocument/2006/relationships/hyperlink" Target="https://www.garant.ru/products/ipo/prime/doc/71787428/" TargetMode="External"/><Relationship Id="rId11" Type="http://schemas.openxmlformats.org/officeDocument/2006/relationships/hyperlink" Target="https://www.garant.ru/products/ipo/prime/doc/71787428/" TargetMode="External"/><Relationship Id="rId5" Type="http://schemas.openxmlformats.org/officeDocument/2006/relationships/hyperlink" Target="https://www.garant.ru/products/ipo/prime/doc/71787428/" TargetMode="External"/><Relationship Id="rId15" Type="http://schemas.openxmlformats.org/officeDocument/2006/relationships/hyperlink" Target="https://www.garant.ru/products/ipo/prime/doc/71787428/" TargetMode="External"/><Relationship Id="rId23" Type="http://schemas.openxmlformats.org/officeDocument/2006/relationships/theme" Target="theme/theme1.xml"/><Relationship Id="rId10" Type="http://schemas.openxmlformats.org/officeDocument/2006/relationships/hyperlink" Target="https://www.garant.ru/products/ipo/prime/doc/71787428/" TargetMode="External"/><Relationship Id="rId19" Type="http://schemas.openxmlformats.org/officeDocument/2006/relationships/hyperlink" Target="https://www.garant.ru/products/ipo/prime/doc/71787428/" TargetMode="External"/><Relationship Id="rId4" Type="http://schemas.openxmlformats.org/officeDocument/2006/relationships/webSettings" Target="webSettings.xml"/><Relationship Id="rId9" Type="http://schemas.openxmlformats.org/officeDocument/2006/relationships/hyperlink" Target="https://www.garant.ru/products/ipo/prime/doc/71787428/" TargetMode="External"/><Relationship Id="rId14" Type="http://schemas.openxmlformats.org/officeDocument/2006/relationships/hyperlink" Target="https://www.garant.ru/products/ipo/prime/doc/7178742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6419</Words>
  <Characters>36592</Characters>
  <Application>Microsoft Office Word</Application>
  <DocSecurity>0</DocSecurity>
  <Lines>304</Lines>
  <Paragraphs>85</Paragraphs>
  <ScaleCrop>false</ScaleCrop>
  <Company/>
  <LinksUpToDate>false</LinksUpToDate>
  <CharactersWithSpaces>42926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2018-04-02T10:44:00Z</dcterms:created>
  <dcterms:modified xsi:type="dcterms:W3CDTF">2018-04-02T10:44:00Z</dcterms:modified>
</cp:coreProperties>
</file>