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ПРИКАЗ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от 5 февраля 2018 г. N 69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 УТВЕРЖДЕНИИ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38.02.01 ЭКОНОМИКА И БУХГАЛТЕРСКИЙ УЧЕТ (ПО ОТРАСЛЯМ)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</w:t>
      </w:r>
      <w:hyperlink r:id="rId6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466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(Собрание законодательства Российской Федерации, 2013, N 23, ст. 2923; N 33, ст. 4386; N 37, ст. 4702; 2014, N 2, ст. 126; N 6, ст. 582;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N 25, ст. 3688),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 </w:t>
      </w:r>
      <w:hyperlink r:id="rId7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661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(Собрание законодательства Российской Федерации, 2013, N 33, ст. 4377; 2014, N 38, ст. 5069; 2016, N 16, ст. 2230; 2017, N 2, ст. 368;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2018, N 3, ст. 562), приказываю: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 Установить, что: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 </w:t>
      </w:r>
      <w:hyperlink r:id="rId8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832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(зарегистрирован Министерством юстиции Российской Федерации 19 августа 2014 г., регистрационный N 33638), прекращается 1 сентября 2018 года.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Министр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О.Ю.ВАСИЛЬЕВА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Утвержден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приказом Министерства образования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и науки Российской Федерации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от 5 февраля 2018 г. N 69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38.02.01 ЭКОНОМИКА И БУХГАЛТЕРСКИЙ УЧЕТ (ПО ОТРАСЛЯМ)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I. ОБЩИЕ ПОЛОЖЕНИЯ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38.02.01 Экономика и бухгалтерский учет (по отраслям) (далее - специальность).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1.3.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(приложение N 1 к настоящему ФГОС СПО).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"1".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--------------------------------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"1" Таблица приложения к приказу Министерства труда и социальной защиты Российской Федерации от 29 сентября 2014 г. N </w:t>
      </w:r>
      <w:hyperlink r:id="rId9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667н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 </w:t>
      </w:r>
      <w:hyperlink r:id="rId10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254н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(зарегистрирован Министерством юстиции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Российской Федерации 29 марта 2017 г., регистрационный N 46168).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"2".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--------------------------------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"2" Статья 14 Федерального закона от 29 декабря 2012 г. N </w:t>
      </w:r>
      <w:hyperlink r:id="rId11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273-ФЗ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N 31, ст. 4765; 2018, N 1, ст. 57).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на базе среднего общего образования - 1 год 10 месяцев.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Срок получения образования по образовательной программе, предусматривающей получение в соответствии с пунктом 1.12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 xml:space="preserve">При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обучении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обучении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1.12.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 </w:t>
      </w:r>
      <w:hyperlink r:id="rId12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1199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2014 г. N </w:t>
      </w:r>
      <w:hyperlink r:id="rId13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518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(зарегистрирован Министерством юстиции Российской Федерации 28 мая 2014 г., регистрационный N 32461), от 18 ноября 2015 г. N </w:t>
      </w:r>
      <w:hyperlink r:id="rId14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1350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(зарегистрирован Министерством юстиции Российской Федерации 3 декабря 2015 г., регистрационный N 39955) и от 25 ноября 2016 г. N </w:t>
      </w:r>
      <w:hyperlink r:id="rId15" w:history="1">
        <w:r w:rsidRPr="008D1278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1477</w:t>
        </w:r>
      </w:hyperlink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(зарегистрирован Министерством юстиции Российской Федерации 12 декабря 2016 г., регистрационный N 44662):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бухгалтер;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бухгалтер, специалист по налогообложению.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II. ТРЕБОВАНИЯ К СТРУКТУРЕ ОБРАЗОВАТЕЛЬНОЙ ПРОГРАММЫ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70 процентов от общего объема времени, отведенного на ее освоение.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о(</w:t>
      </w:r>
      <w:proofErr w:type="spellStart"/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ых</w:t>
      </w:r>
      <w:proofErr w:type="spell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 вида(</w:t>
      </w:r>
      <w:proofErr w:type="spell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ов</w:t>
      </w:r>
      <w:proofErr w:type="spell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общий гуманитарный и социально-экономический цикл;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математический и общий естественнонаучный цикл;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общепрофессиональный цикл;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профессиональный цикл;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государственная итоговая аттестация, которая завершается присвоением квалификации специалиста среднего звена, указанной в пункте 1.12 настоящего ФГОС СПО.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Таблица N 1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2135"/>
        <w:gridCol w:w="2857"/>
      </w:tblGrid>
      <w:tr w:rsidR="008D1278" w:rsidRPr="008D1278" w:rsidTr="008D127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8D1278" w:rsidRPr="008D1278" w:rsidTr="008D12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 получении квалификации специалиста среднего звена "бухгалтер"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324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668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108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468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504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1008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1636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8D1278" w:rsidRPr="008D1278" w:rsidTr="008D1278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4464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5904</w:t>
            </w:r>
          </w:p>
        </w:tc>
      </w:tr>
    </w:tbl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Таблицей N 1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Учебная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III. ТРЕБОВАНИЯ К РЕЗУЛЬТАТАМ ОСВОЕНИЯ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ОБРАЗОВАТЕЛЬНОЙ ПРОГРАММЫ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пункте 1.12 настоящего ФГОС СПО.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Таблица N 2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Соотнесение основных видов деятельности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и квалификаций специалиста среднего звена при формировании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образовательной программы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256"/>
      </w:tblGrid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</w:t>
            </w:r>
            <w:proofErr w:type="gramStart"/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й) специалиста среднего звена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</w:tbl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 основным видам деятельности также относится освоение одной или нескольких профессий рабочих, должностей служащих, указанных в приложении N 2 к настоящему ФГОС СПО.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Таблице N 2 настоящего ФГОС СПО: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3.4.1. Документирование хозяйственных операций и ведение бухгалтерского учета активов организации: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1.1. Обрабатывать первичные бухгалтерские документы;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1.3. Проводить учет денежных средств, оформлять денежные и кассовые документы;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2.2. Выполнять поручения руководства в составе комиссии по инвентаризации активов в местах их хранения;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2.5. Проводить процедуры инвентаризации финансовых обязательств организации;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3.4.3. Проведение расчетов с бюджетом и внебюджетными фондами: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3.4.4. Составление и использование бухгалтерской (финансовой) отчетности: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4.2. Составлять формы бухгалтерской (финансовой) отчетности в установленные законодательством сроки;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4.5. Принимать участие в составлении бизнес-плана;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4.7. Проводить мониторинг устранения менеджментом выявленных нарушений, недостатков и рисков.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3.4.5. Осуществление налогового учета и налогового планирования в организации: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5.1. Организовывать налоговый учет;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5.2. Разрабатывать и заполнять первичные учетные документы и регистры налогового учета;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5.3. Проводить определение налоговой базы для расчета налогов и сборов, обязательных для уплаты;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ПК 5.5. Проводить налоговое планирование деятельности организации.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(приложение N 2 к ФГОС СПО).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3.6. Минимальные требования к результатам освоения основных видов деятельности образовательной программы указаны в приложении N 3 к настоящему ФГОС СПО.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3.7. Образовательная организация самостоятельно планирует результаты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обучения по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и ПК в соответствии с получаемой квалификацией специалиста среднего звена, указанной в пункте 1.12 настоящего ФГОС СПО.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IV. ТРЕБОВАНИЯ К УСЛОВИЯМ РЕАЛИЗАЦИИ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ОБРАЗОВАТЕЛЬНОЙ ПРОГРАММЫ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ОК</w:t>
      </w:r>
      <w:proofErr w:type="gramEnd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и ПК.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</w:t>
      </w: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из расчета одно печатное издание и (или) электронное издание по каждой дисциплине (модулю) на одного обучающегося.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4.4.1.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1.6 настоящего ФГОС СПО (имеющих стаж работы в данной профессиональной области не менее 3 лет).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1.6 настоящего ФГОС СПО, не реже 1 раза в 3 года с учетом расширения спектра профессиональных компетенций.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 xml:space="preserve">4.6.3. </w:t>
      </w:r>
      <w:proofErr w:type="gramStart"/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1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 федеральному государственному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образовательному стандарту среднего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профессионального образования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 специальности 38.02.01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Экономика и бухгалтерский учет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(по отраслям)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ПЕРЕЧЕНЬ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ПРОФЕССИОНАЛЬНЫХ СТАНДАРТОВ, СООТВЕТСТВУЮЩИХ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ПРОФЕССИОНАЛЬНОЙ ДЕЯТЕЛЬНОСТИ ВЫПУСКНИКОВ ОБРАЗОВАТЕЛЬНОЙ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ПРОГРАММЫ СРЕДНЕГО ПРОФЕССИОНАЛЬНОГО ОБРАЗОВАНИЯ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 xml:space="preserve">ПО СПЕЦИАЛЬНОСТИ 38.02.01 ЭКОНОМИКА И </w:t>
      </w:r>
      <w:proofErr w:type="gramStart"/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БУХГАЛТЕРСКИЙ</w:t>
      </w:r>
      <w:proofErr w:type="gramEnd"/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УЧЕТ (ПО ОТРАСЛЯМ)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671"/>
      </w:tblGrid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08.002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Профессиональный стандарт "Бухгалтер", утвержден приказом Министерства труда и социальной защиты Российской Федерации от 22 декабря 2014 г. N </w:t>
            </w:r>
            <w:hyperlink r:id="rId16" w:history="1">
              <w:r w:rsidRPr="008D1278">
                <w:rPr>
                  <w:rFonts w:ascii="inherit" w:eastAsia="Times New Roman" w:hAnsi="inherit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1061н</w:t>
              </w:r>
            </w:hyperlink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(зарегистрирован Министерством юстиции Российской Федерации 23 января 2015 г., регистрационный N 35697)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08.006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 </w:t>
            </w:r>
            <w:hyperlink r:id="rId17" w:history="1">
              <w:r w:rsidRPr="008D1278">
                <w:rPr>
                  <w:rFonts w:ascii="inherit" w:eastAsia="Times New Roman" w:hAnsi="inherit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236н</w:t>
              </w:r>
            </w:hyperlink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(зарегистрирован Министерством юстиции Российской Федерации 13 мая 2015 г., регистрационный N 37271)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08.023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Профессиональный стандарт "Аудитор", утвержден приказом Министерства труда и социальной защиты Российской Федерации от 19 октября 2015 г. N </w:t>
            </w:r>
            <w:hyperlink r:id="rId18" w:history="1">
              <w:r w:rsidRPr="008D1278">
                <w:rPr>
                  <w:rFonts w:ascii="inherit" w:eastAsia="Times New Roman" w:hAnsi="inherit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728н</w:t>
              </w:r>
            </w:hyperlink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(зарегистрирован Министерством юстиции Российской Федерации 23 ноября 2015 г., регистрационный N 39802)</w:t>
            </w:r>
          </w:p>
        </w:tc>
      </w:tr>
    </w:tbl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2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 федеральному государственному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образовательному стандарту среднего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профессионального образования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 специальности 38.02.01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Экономика и бухгалтерский учет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(по отраслям)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ПЕРЕЧЕНЬ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lastRenderedPageBreak/>
        <w:t>СРЕДНЕГО ЗВЕНА ПО СПЕЦИАЛЬНОСТИ 38.02.01 ЭКОНОМИКА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И БУХГАЛТЕРСКИЙ УЧЕТ (ПО ОТРАСЛЯМ)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289"/>
      </w:tblGrid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 </w:t>
            </w:r>
            <w:hyperlink r:id="rId19" w:history="1">
              <w:r w:rsidRPr="008D1278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513</w:t>
              </w:r>
            </w:hyperlink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 </w:t>
            </w:r>
            <w:hyperlink r:id="rId20" w:history="1">
              <w:r w:rsidRPr="008D1278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1348</w:t>
              </w:r>
            </w:hyperlink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(зарегистрирован Министерством юстиции Российской</w:t>
            </w:r>
            <w:proofErr w:type="gramEnd"/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Федерации 29 января 2014 г., регистрационный N 31163), от 28 марта 2014 г. N </w:t>
            </w:r>
            <w:hyperlink r:id="rId21" w:history="1">
              <w:r w:rsidRPr="008D1278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244</w:t>
              </w:r>
            </w:hyperlink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(зарегистрирован Министерством юстиции Российской Федерации 15 апреля 2014 г., регистрационный N 31953), от 27 июня 2014 г. N </w:t>
            </w:r>
            <w:hyperlink r:id="rId22" w:history="1">
              <w:r w:rsidRPr="008D1278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695</w:t>
              </w:r>
            </w:hyperlink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(зарегистрирован Министерством юстиции Российской Федерации 22 июля 2014 г., регистрационный N 33205), от 3 февраля 2017 г. N </w:t>
            </w:r>
            <w:hyperlink r:id="rId23" w:history="1">
              <w:r w:rsidRPr="008D1278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106</w:t>
              </w:r>
            </w:hyperlink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(зарегистрирован Министерством юстиции Российской Федерации 11 апреля</w:t>
            </w:r>
            <w:proofErr w:type="gramEnd"/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2017 г., регистрационный N 46339).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23369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Кассир</w:t>
            </w:r>
          </w:p>
        </w:tc>
      </w:tr>
    </w:tbl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3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 федеральному государственному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образовательному стандарту среднего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профессионального образования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 специальности 38.02.01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Экономика и бухгалтерский учет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(по отраслям)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МИНИМАЛЬНЫЕ ТРЕБОВАНИЯ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 РЕЗУЛЬТАТАМ ОСВОЕНИЯ ОСНОВНЫХ ВИДОВ ДЕЯТЕЛЬНОСТИ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ОБРАЗОВАТЕЛЬНОЙ ПРОГРАММЫ СРЕДНЕГО ПРОФЕССИОНАЛЬНОГО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ОБРАЗОВАНИЯ ПО СПЕЦИАЛЬНОСТИ 38.02.01 ЭКОНОМИКА</w:t>
      </w:r>
    </w:p>
    <w:p w:rsidR="008D1278" w:rsidRPr="008D1278" w:rsidRDefault="008D1278" w:rsidP="008D127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D1278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И БУХГАЛТЕРСКИЙ УЧЕТ (ПО ОТРАСЛЯМ)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19"/>
      </w:tblGrid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порядок составления регистров бухгалтерского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и сроки хранения первичной бухгалтерской документации;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сущность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инструкцию по применению плана счетов бухгалтерского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принципы и цели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разработки рабочего плана счетов бухгалтерского учета организации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денежных средств на расчетных и специальных счетах;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и классификацию основных средств;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оценку и переоценку основных средств;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поступления основных средств;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выбытия и аренды основных средств;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амортизации основных средств;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учета арендованных и сданных в аренду основных средств;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и классификацию нематериальных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поступления и выбытия нематериальных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амортизацию нематериальных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долгосрочных инвестиций;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финансовых вложений и ценных бумаг;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материально-производственных запасов: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понятие, классификацию и оценку материально-производственных запасов;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материалов на складе и в бухгалтерии;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синтетический учет движения материалов;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транспортно-заготовительных расходов;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учет затрат на производство и </w:t>
            </w:r>
            <w:proofErr w:type="spell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себестоимости: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систему учета производственных затрат и их классификацию;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сводный учет затрат на производство, обслуживание производства и управление;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учета и распределения затрат вспомогательных производств;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потерь и непроизводственных расходов;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и оценку незавершенного производства;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калькуляцию себестоимости продукции;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характеристику готовой продукции, оценку и синтетический учет;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технологию реализации готовой продукции (работ, услуг);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выручки от реализации продукции (работ, услуг);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расходов по реализации продукции, выполнению работ и оказанию услуг;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дебиторской и кредиторской задолженности и формы расчетов;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расчетов с работниками по прочим операциям и расчетов с подотчетными лицами.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уметь: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понимать и анализировать план счетов бухгалтерского учета финансово-хозяйственной </w:t>
            </w: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деятельности организаций;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конструировать поэтапно рабочий план счетов бухгалтерского учета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оформлять денежные и кассовые документы;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основных средств;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нематериальных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долгосрочных инвестиций;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финансовых вложений и ценных бумаг;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материально-производственных запасов;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себестоимости;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готовой продукц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реализации;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текущих операций и расчетов;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труда и заработной платы;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финансовых результатов и использования прибыли;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кредитов и займов.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документировании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труда и его оплаты;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удержаний из заработной платы работников;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финансовых результатов по обычным видам деятельности;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финансовых результатов по прочим видам деятельности;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нераспределенной прибыли;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собственного капитала: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уставного капитала;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резервного капитала и целевого финансирования;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кредитов и займов;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нормативные правовые акты, регулирующие порядок </w:t>
            </w: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проведения инвентаризации активов и обязательств;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физического подсчета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процедуру составления акта по результатам инвентаризации;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инвентаризации дебиторской и кредиторской задолженности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инвентаризации расчетов;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технологию определения реального состояния расчетов;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инвентаризации недостач и потерь от порчи ценностей;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ведения бухгалтерского учета источников формирования имущества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порядок выполнения работ по инвентаризации активов и обязательств;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уметь: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рассчитывать заработную плату сотрудников;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сумму удержаний из заработной платы сотрудников;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нераспределенной прибыли;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уставного капитала;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резервного капитала и целевого финансирования;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кредитов и займов;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давать характеристику активов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составлять инвентаризационные описи;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составлять акт по результатам инвентаризации;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выверку финансовых обязательств;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инвентаризацию расчетов;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реальное состояние расчетов;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контрольных процедур и их документировании;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 порядок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систему налогов Российской Федерации;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аналитический учет по счету 68 "Расчеты по налогам и сборам";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коды бюджетной классификации, порядок их присвоения для налога, штрафа и пени;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средств внебюджетных фондов;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уметь: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виды и порядок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организовывать аналитический учет по счету 68 "Расчеты по налогам и сборам";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аналитический учет по счету 69 "Расчеты по социальному страхованию";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оформлять платежные поручения по штрафам и пеням внебюджетных фондов;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пользоваться образцом заполнения платежных поручений по перечислению страховых взносов во </w:t>
            </w: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расчетов с бюджетом и внебюджетными фондами.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составления шахматной таблицы и </w:t>
            </w:r>
            <w:proofErr w:type="spell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-сальдовой ведомости;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бухгалтерской отчетности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и содержание форм бухгалтерской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бухгалтерский баланс, отчет о финансовых результатах как основные формы бухгалтерской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организации получения аудиторского заключения в случае необходимости;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сроки представления бухгалтерской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фонды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инструкцию по ее заполнению;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 статистической отчетности и инструкцию по ее заполнению;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финансового анализа;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 приемы финансового анализа;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анализа бухгалтерского баланса: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определения результатов общей оценки структуры активов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их источников по показателям баланса;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анализа ликвидности бухгалтерского баланса;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расчета финансовых коэффициентов для оценки платежеспособности;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критериев оценки несостоятельности (банкротства)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анализа показателей финансовой устойчивости;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анализа отчета о финансовых результатах;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анализа уровня и динамики финансовых результатов по показателям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анализа влияния факторов на прибыль;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уметь: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планировать программы и сроки проведения финансового анализа экономического субъекта и </w:t>
            </w: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осуществлять контроль их соблюдения, определять состав и формат аналитических отчетов;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результаты хозяйственной деятельности за отчетный период;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устанавливать идентичность показателей бухгалтерских отчетов;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осваивать новые формы бухгалтерской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адаптировать бухгалтерскую (финансовую) </w:t>
            </w: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отчетность Российской Федерации к Международным стандартам финансовой отчетности.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счетной проверке бухгалтерской отчетности;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анализе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налоговых льгот;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разработке учетной политики в целях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8D1278" w:rsidRPr="008D1278" w:rsidTr="008D127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требования к организации и ведению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 разработки учетной политики в целях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утверждения учетной налоговой политики приказом руководителя;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местонахождение положений учетной политики в тексте приказа или в приложении к приказу;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случаи изменения учетной политики в целях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действия учетной политики;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применения учетной политики для налогов разных видов;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принцип учетной политики для организац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подразделений;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структуру учетной политики;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случаи отражения в учетной политике формирования налоговой базы;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представления учетной политики в целях налогообложения в налоговые органы;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учетные документы и регистры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расчет налоговой базы;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формирования суммы доходов и расходов;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определения доли расходов, учитываемых для целей налогообложения в текущем налоговом </w:t>
            </w: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(отчетном) периоде;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порядок расчета суммы остатка расходов (убытков),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подлежащую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отнесению на расходы в следующих налоговых периодах;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контроля правильности заполнения налоговых деклараций;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системы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налоговые льготы при исчислении величины налогов и сборов;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налогового планирования;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процесс разработки учетной политики организации в целях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схемы минимизации налогов;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технологию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разработки схем налоговой оптимизации деятельности организации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цели осуществления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порядка ведения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данных налогового учета при предоставлении документов в налоговые органы;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и структуру регистров налогового учета: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бухгалтерские документы;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аналитические регистры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расчет налоговой базы;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налогового учета, определяемые Налоговым кодексом Российской Федерации;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расчета налоговой базы по налогу на добавленную стоимость;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расчета налоговой базы по налогу на прибыль;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расчета налоговой базы по налогу на доходы физических лиц;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схемы оптимизации налогообложения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схемы минимизации налогов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и виды налоговых льгот;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необлагаемый налогом минимум дохода;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налоговые скидки (для отдельных организаций);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возврата ранее уплаченных налогов;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"налоговая амнистия";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полного освобождения от уплаты некоторых налогов;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льготы по налогу на прибыль и налогу на имущество;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общие условия применения льгот по налогу на </w:t>
            </w: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имущество и налогу на прибыль;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"вложения";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расчета суммы вложений для применения льготы;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основания для прекращения применения льготы и его последствия;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применения льготы по налогу на прибыль;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применения льготы по налогу на имущество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меть: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участвовать в разработке учетной политики в целях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участвовать в подготовке утверждения учетной налоговой политики;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размещать положения учетной политики в тексте приказа или в приложении к приказу;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учетную политику последовательно, от одного налогового периода к другому;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вносить изменения в учетную политику в целях налогообложения;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срок действия учетной политики;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особенности учетной политики для налогов разных видов;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руководствоваться принципами учетной политики для организац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подразделений;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структуру учетной политики;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отражать в учетной политике особенности формирования налоговой базы;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представлять учетную политику в целях налогообложения в налоговые органы;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ориентироваться в понятиях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цели осуществления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налаживать порядок ведения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отражать данные налогового учета при предоставлении документов в налоговые органы;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доначислять неуплаченные налоги и уплачивать штрафные санкции налоговым органам;</w:t>
            </w:r>
          </w:p>
        </w:tc>
      </w:tr>
      <w:tr w:rsidR="008D1278" w:rsidRPr="008D1278" w:rsidTr="008D127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формировать состав и структуру регистров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составлять первичные бухгалтерские документы;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составлять аналитические регистры налогового учета;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рассчитывать налоговую базу для исчисления налогов и сборов;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рассчитывать налоговую базу по налогу на добавленную стоимость;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рассчитывать налоговую базу по налогу на прибыль;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рассчитывать налоговую базу по налогу на доходы физических лиц;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составлять схемы оптимизации налогообложения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составлять схемы минимизации налогов организации.</w:t>
            </w:r>
          </w:p>
          <w:p w:rsidR="008D1278" w:rsidRPr="008D1278" w:rsidRDefault="008D1278" w:rsidP="008D12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налогового учета и налогового планирования в организации;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налоговых льгот;</w:t>
            </w:r>
          </w:p>
          <w:p w:rsidR="008D1278" w:rsidRPr="008D1278" w:rsidRDefault="008D1278" w:rsidP="008D127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2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разработке учетной политики в целях налогообложения.</w:t>
            </w:r>
          </w:p>
        </w:tc>
      </w:tr>
    </w:tbl>
    <w:p w:rsidR="00EE096D" w:rsidRDefault="00EE096D" w:rsidP="008D1278">
      <w:pPr>
        <w:shd w:val="clear" w:color="auto" w:fill="FFFFFF"/>
        <w:spacing w:after="0" w:line="240" w:lineRule="auto"/>
        <w:textAlignment w:val="baseline"/>
      </w:pPr>
      <w:bookmarkStart w:id="0" w:name="_GoBack"/>
      <w:bookmarkEnd w:id="0"/>
    </w:p>
    <w:sectPr w:rsidR="00EE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E5A"/>
    <w:multiLevelType w:val="multilevel"/>
    <w:tmpl w:val="A0C8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D"/>
    <w:rsid w:val="001513DD"/>
    <w:rsid w:val="008D1278"/>
    <w:rsid w:val="00E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278"/>
  </w:style>
  <w:style w:type="paragraph" w:customStyle="1" w:styleId="pc">
    <w:name w:val="pc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2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278"/>
    <w:rPr>
      <w:color w:val="800080"/>
      <w:u w:val="single"/>
    </w:rPr>
  </w:style>
  <w:style w:type="paragraph" w:customStyle="1" w:styleId="pr">
    <w:name w:val="pr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278"/>
  </w:style>
  <w:style w:type="paragraph" w:customStyle="1" w:styleId="pc">
    <w:name w:val="pc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2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278"/>
    <w:rPr>
      <w:color w:val="800080"/>
      <w:u w:val="single"/>
    </w:rPr>
  </w:style>
  <w:style w:type="paragraph" w:customStyle="1" w:styleId="pr">
    <w:name w:val="pr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8D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214">
                  <w:marLeft w:val="0"/>
                  <w:marRight w:val="3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28.07.2014-N-832/" TargetMode="External"/><Relationship Id="rId13" Type="http://schemas.openxmlformats.org/officeDocument/2006/relationships/hyperlink" Target="http://rulaws.ru/acts/Prikaz-Minobrnauki-Rossii-ot-14.05.2014-N-518/" TargetMode="External"/><Relationship Id="rId18" Type="http://schemas.openxmlformats.org/officeDocument/2006/relationships/hyperlink" Target="http://rulaws.ru/acts/Prikaz-Mintruda-Rossii-ot-19.10.2015-N-728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laws.ru/acts/Prikaz-Minobrnauki-Rossii-ot-28.03.2014-N-244/" TargetMode="External"/><Relationship Id="rId7" Type="http://schemas.openxmlformats.org/officeDocument/2006/relationships/hyperlink" Target="http://rulaws.ru/goverment/Postanovlenie-Pravitelstva-RF-ot-05.08.2013-N-661/" TargetMode="External"/><Relationship Id="rId12" Type="http://schemas.openxmlformats.org/officeDocument/2006/relationships/hyperlink" Target="http://rulaws.ru/acts/Prikaz-Minobrnauki-Rossii-ot-29.10.2013-N-1199/" TargetMode="External"/><Relationship Id="rId17" Type="http://schemas.openxmlformats.org/officeDocument/2006/relationships/hyperlink" Target="http://rulaws.ru/acts/Prikaz-Mintruda-Rossii-ot-22.04.2015-N-236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laws.ru/acts/Prikaz-Mintruda-Rossii-ot-22.12.2014-N-1061n/" TargetMode="External"/><Relationship Id="rId20" Type="http://schemas.openxmlformats.org/officeDocument/2006/relationships/hyperlink" Target="http://rulaws.ru/acts/Prikaz-Minobrnauki-Rossii-ot-16.12.2013-N-13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03.06.2013-N-466/" TargetMode="External"/><Relationship Id="rId11" Type="http://schemas.openxmlformats.org/officeDocument/2006/relationships/hyperlink" Target="http://rulaws.ru/laws/Federalnyy-zakon-ot-29.12.2012-N-273-F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laws.ru/acts/Prikaz-Minobrnauki-Rossii-ot-25.11.2016-N-1477/" TargetMode="External"/><Relationship Id="rId23" Type="http://schemas.openxmlformats.org/officeDocument/2006/relationships/hyperlink" Target="http://rulaws.ru/acts/Prikaz-Minobrnauki-Rossii-ot-03.02.2017-N-106/" TargetMode="External"/><Relationship Id="rId10" Type="http://schemas.openxmlformats.org/officeDocument/2006/relationships/hyperlink" Target="http://rulaws.ru/acts/Prikaz-Mintruda-Rossii-ot-09.03.2017-N-254n/" TargetMode="External"/><Relationship Id="rId19" Type="http://schemas.openxmlformats.org/officeDocument/2006/relationships/hyperlink" Target="http://rulaws.ru/acts/Prikaz-Minobrnauki-Rossii-ot-02.07.2013-N-5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truda-Rossii-ot-29.09.2014-N-667n/" TargetMode="External"/><Relationship Id="rId14" Type="http://schemas.openxmlformats.org/officeDocument/2006/relationships/hyperlink" Target="http://rulaws.ru/acts/Prikaz-Minobrnauki-Rossii-ot-18.11.2015-N-1350/" TargetMode="External"/><Relationship Id="rId22" Type="http://schemas.openxmlformats.org/officeDocument/2006/relationships/hyperlink" Target="http://rulaws.ru/acts/Prikaz-Minobrnauki-Rossii-ot-27.06.2014-N-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9625</Words>
  <Characters>54864</Characters>
  <Application>Microsoft Office Word</Application>
  <DocSecurity>0</DocSecurity>
  <Lines>457</Lines>
  <Paragraphs>128</Paragraphs>
  <ScaleCrop>false</ScaleCrop>
  <Company/>
  <LinksUpToDate>false</LinksUpToDate>
  <CharactersWithSpaces>64361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2018-04-02T10:41:00Z</dcterms:created>
  <dcterms:modified xsi:type="dcterms:W3CDTF">2018-04-02T10:42:00Z</dcterms:modified>
</cp:coreProperties>
</file>